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宋体"/>
          <w:szCs w:val="32"/>
        </w:rPr>
      </w:pPr>
      <w:r>
        <w:rPr>
          <w:rFonts w:hAnsi="宋体" w:eastAsia="宋体"/>
          <w:szCs w:val="32"/>
        </w:rPr>
        <w:t>附件</w:t>
      </w:r>
    </w:p>
    <w:p>
      <w:pPr>
        <w:spacing w:line="300" w:lineRule="exact"/>
        <w:rPr>
          <w:rFonts w:eastAsia="宋体"/>
          <w:szCs w:val="32"/>
        </w:rPr>
      </w:pPr>
    </w:p>
    <w:p>
      <w:pPr>
        <w:spacing w:line="560" w:lineRule="exact"/>
        <w:jc w:val="center"/>
        <w:rPr>
          <w:rFonts w:eastAsia="宋体"/>
          <w:sz w:val="36"/>
          <w:szCs w:val="36"/>
        </w:rPr>
      </w:pPr>
      <w:r>
        <w:rPr>
          <w:rFonts w:hAnsi="宋体" w:eastAsia="宋体"/>
          <w:sz w:val="36"/>
          <w:szCs w:val="36"/>
        </w:rPr>
        <w:t>企业事业单位环境信息公开表（参考）</w:t>
      </w:r>
    </w:p>
    <w:p>
      <w:pPr>
        <w:spacing w:line="300" w:lineRule="exact"/>
        <w:jc w:val="center"/>
        <w:rPr>
          <w:rFonts w:eastAsia="宋体"/>
          <w:sz w:val="44"/>
          <w:szCs w:val="44"/>
        </w:rPr>
      </w:pPr>
    </w:p>
    <w:p>
      <w:pPr>
        <w:spacing w:line="560" w:lineRule="exact"/>
        <w:ind w:firstLine="320" w:firstLineChars="100"/>
        <w:jc w:val="left"/>
        <w:rPr>
          <w:rFonts w:eastAsia="宋体"/>
          <w:szCs w:val="32"/>
        </w:rPr>
      </w:pPr>
      <w:r>
        <w:rPr>
          <w:rFonts w:hAnsi="宋体" w:eastAsia="宋体"/>
          <w:szCs w:val="32"/>
        </w:rPr>
        <w:t>一、基础信息</w:t>
      </w:r>
    </w:p>
    <w:tbl>
      <w:tblPr>
        <w:tblStyle w:val="25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799"/>
        <w:gridCol w:w="1894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7477" w:type="dxa"/>
            <w:gridSpan w:val="3"/>
          </w:tcPr>
          <w:p>
            <w:pPr>
              <w:spacing w:line="620" w:lineRule="exact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浙江普洛生物</w:t>
            </w:r>
            <w:r>
              <w:rPr>
                <w:rFonts w:hint="eastAsia" w:hAnsi="宋体" w:eastAsia="宋体"/>
                <w:sz w:val="28"/>
                <w:szCs w:val="28"/>
              </w:rPr>
              <w:t>科技</w:t>
            </w:r>
            <w:r>
              <w:rPr>
                <w:rFonts w:hAnsi="宋体" w:eastAsia="宋体"/>
                <w:sz w:val="28"/>
                <w:szCs w:val="28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组织机构代码</w:t>
            </w:r>
          </w:p>
        </w:tc>
        <w:tc>
          <w:tcPr>
            <w:tcW w:w="2799" w:type="dxa"/>
          </w:tcPr>
          <w:p>
            <w:pPr>
              <w:spacing w:line="620" w:lineRule="exact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91330783</w:t>
            </w:r>
            <w:r>
              <w:rPr>
                <w:rFonts w:eastAsia="宋体"/>
                <w:sz w:val="28"/>
                <w:szCs w:val="28"/>
              </w:rPr>
              <w:t>147574789</w:t>
            </w:r>
            <w:r>
              <w:rPr>
                <w:rFonts w:hint="eastAsia" w:eastAsia="宋体"/>
                <w:sz w:val="28"/>
                <w:szCs w:val="28"/>
              </w:rPr>
              <w:t>A</w:t>
            </w:r>
          </w:p>
        </w:tc>
        <w:tc>
          <w:tcPr>
            <w:tcW w:w="1894" w:type="dxa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法定代表人</w:t>
            </w:r>
          </w:p>
        </w:tc>
        <w:tc>
          <w:tcPr>
            <w:tcW w:w="2784" w:type="dxa"/>
          </w:tcPr>
          <w:p>
            <w:pPr>
              <w:spacing w:line="620" w:lineRule="exact"/>
              <w:rPr>
                <w:rFonts w:eastAsia="宋体"/>
                <w:sz w:val="28"/>
                <w:szCs w:val="28"/>
              </w:rPr>
            </w:pPr>
            <w:r>
              <w:rPr>
                <w:rFonts w:hint="eastAsia" w:hAnsi="宋体" w:eastAsia="宋体"/>
                <w:sz w:val="28"/>
                <w:szCs w:val="28"/>
              </w:rPr>
              <w:t>李常青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生产地址</w:t>
            </w:r>
          </w:p>
        </w:tc>
        <w:tc>
          <w:tcPr>
            <w:tcW w:w="2799" w:type="dxa"/>
          </w:tcPr>
          <w:p>
            <w:pPr>
              <w:spacing w:line="620" w:lineRule="exact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浙江金华东阳歌山</w:t>
            </w:r>
          </w:p>
        </w:tc>
        <w:tc>
          <w:tcPr>
            <w:tcW w:w="1894" w:type="dxa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生产周期</w:t>
            </w:r>
          </w:p>
        </w:tc>
        <w:tc>
          <w:tcPr>
            <w:tcW w:w="2784" w:type="dxa"/>
          </w:tcPr>
          <w:p>
            <w:pPr>
              <w:spacing w:line="62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7</w:t>
            </w:r>
            <w:r>
              <w:rPr>
                <w:rFonts w:hAnsi="宋体" w:eastAsia="宋体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所属行业</w:t>
            </w:r>
          </w:p>
        </w:tc>
        <w:tc>
          <w:tcPr>
            <w:tcW w:w="2799" w:type="dxa"/>
          </w:tcPr>
          <w:p>
            <w:pPr>
              <w:spacing w:line="620" w:lineRule="exact"/>
              <w:rPr>
                <w:rFonts w:eastAsia="宋体"/>
                <w:sz w:val="28"/>
                <w:szCs w:val="28"/>
              </w:rPr>
            </w:pPr>
            <w:r>
              <w:rPr>
                <w:rFonts w:hint="eastAsia" w:hAnsi="宋体" w:eastAsia="宋体"/>
                <w:sz w:val="28"/>
                <w:szCs w:val="28"/>
              </w:rPr>
              <w:t>化学药品原料药制造</w:t>
            </w:r>
          </w:p>
        </w:tc>
        <w:tc>
          <w:tcPr>
            <w:tcW w:w="1894" w:type="dxa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784" w:type="dxa"/>
          </w:tcPr>
          <w:p>
            <w:pPr>
              <w:spacing w:line="62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0579-86170418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</w:trPr>
        <w:tc>
          <w:tcPr>
            <w:tcW w:w="2163" w:type="dxa"/>
            <w:vAlign w:val="center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生产经营和管理服务的主要内容</w:t>
            </w:r>
          </w:p>
        </w:tc>
        <w:tc>
          <w:tcPr>
            <w:tcW w:w="7477" w:type="dxa"/>
            <w:gridSpan w:val="3"/>
            <w:vAlign w:val="center"/>
          </w:tcPr>
          <w:p>
            <w:pPr>
              <w:spacing w:line="620" w:lineRule="exact"/>
              <w:jc w:val="center"/>
              <w:rPr>
                <w:rFonts w:hAnsi="宋体"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主导产品有：硫酸粘菌素及预混剂、吉他霉素及预混剂、</w:t>
            </w:r>
          </w:p>
          <w:p>
            <w:pPr>
              <w:spacing w:line="620" w:lineRule="exact"/>
              <w:ind w:firstLine="1680" w:firstLineChars="600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泰乐菌素及预混剂等</w:t>
            </w:r>
            <w:r>
              <w:rPr>
                <w:rFonts w:hint="eastAsia" w:hAnsi="宋体" w:eastAsia="宋体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62" w:type="dxa"/>
            <w:gridSpan w:val="2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主要产品</w:t>
            </w:r>
          </w:p>
        </w:tc>
        <w:tc>
          <w:tcPr>
            <w:tcW w:w="4678" w:type="dxa"/>
            <w:gridSpan w:val="2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生产规模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62" w:type="dxa"/>
            <w:gridSpan w:val="2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硫酸粘菌素</w:t>
            </w:r>
          </w:p>
        </w:tc>
        <w:tc>
          <w:tcPr>
            <w:tcW w:w="4678" w:type="dxa"/>
            <w:gridSpan w:val="2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200</w:t>
            </w:r>
            <w:r>
              <w:rPr>
                <w:rFonts w:hAnsi="宋体" w:eastAsia="宋体"/>
                <w:sz w:val="28"/>
                <w:szCs w:val="28"/>
              </w:rPr>
              <w:t>万十亿</w:t>
            </w:r>
            <w:r>
              <w:rPr>
                <w:rFonts w:eastAsia="宋体"/>
                <w:sz w:val="28"/>
                <w:szCs w:val="28"/>
              </w:rPr>
              <w:t>/</w:t>
            </w:r>
            <w:r>
              <w:rPr>
                <w:rFonts w:hAnsi="宋体" w:eastAsia="宋体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62" w:type="dxa"/>
            <w:gridSpan w:val="2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吉他霉素</w:t>
            </w:r>
          </w:p>
        </w:tc>
        <w:tc>
          <w:tcPr>
            <w:tcW w:w="4678" w:type="dxa"/>
            <w:gridSpan w:val="2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30</w:t>
            </w:r>
            <w:r>
              <w:rPr>
                <w:rFonts w:hAnsi="宋体" w:eastAsia="宋体"/>
                <w:sz w:val="28"/>
                <w:szCs w:val="28"/>
              </w:rPr>
              <w:t>吨</w:t>
            </w:r>
            <w:r>
              <w:rPr>
                <w:rFonts w:eastAsia="宋体"/>
                <w:sz w:val="28"/>
                <w:szCs w:val="28"/>
              </w:rPr>
              <w:t>/</w:t>
            </w:r>
            <w:r>
              <w:rPr>
                <w:rFonts w:hAnsi="宋体" w:eastAsia="宋体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62" w:type="dxa"/>
            <w:gridSpan w:val="2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泰乐菌素</w:t>
            </w:r>
          </w:p>
        </w:tc>
        <w:tc>
          <w:tcPr>
            <w:tcW w:w="4678" w:type="dxa"/>
            <w:gridSpan w:val="2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300</w:t>
            </w:r>
            <w:r>
              <w:rPr>
                <w:rFonts w:hAnsi="宋体" w:eastAsia="宋体"/>
                <w:sz w:val="28"/>
                <w:szCs w:val="28"/>
              </w:rPr>
              <w:t>吨</w:t>
            </w:r>
            <w:r>
              <w:rPr>
                <w:rFonts w:eastAsia="宋体"/>
                <w:sz w:val="28"/>
                <w:szCs w:val="28"/>
              </w:rPr>
              <w:t>/</w:t>
            </w:r>
            <w:r>
              <w:rPr>
                <w:rFonts w:hAnsi="宋体" w:eastAsia="宋体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62" w:type="dxa"/>
            <w:gridSpan w:val="2"/>
          </w:tcPr>
          <w:p>
            <w:pPr>
              <w:spacing w:line="620" w:lineRule="exact"/>
              <w:jc w:val="center"/>
              <w:rPr>
                <w:rFonts w:hint="eastAsia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hAnsi="宋体" w:eastAsia="宋体"/>
                <w:sz w:val="28"/>
                <w:szCs w:val="28"/>
                <w:lang w:eastAsia="zh-CN"/>
              </w:rPr>
              <w:t>安普霉素</w:t>
            </w:r>
          </w:p>
        </w:tc>
        <w:tc>
          <w:tcPr>
            <w:tcW w:w="4678" w:type="dxa"/>
            <w:gridSpan w:val="2"/>
          </w:tcPr>
          <w:p>
            <w:pPr>
              <w:spacing w:line="6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200吨/年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62" w:type="dxa"/>
            <w:gridSpan w:val="2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兽药预混剂</w:t>
            </w:r>
          </w:p>
        </w:tc>
        <w:tc>
          <w:tcPr>
            <w:tcW w:w="4678" w:type="dxa"/>
            <w:gridSpan w:val="2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15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宋体"/>
                <w:sz w:val="28"/>
                <w:szCs w:val="28"/>
              </w:rPr>
              <w:t>00</w:t>
            </w:r>
            <w:r>
              <w:rPr>
                <w:rFonts w:hAnsi="宋体" w:eastAsia="宋体"/>
                <w:sz w:val="28"/>
                <w:szCs w:val="28"/>
              </w:rPr>
              <w:t>吨</w:t>
            </w:r>
            <w:r>
              <w:rPr>
                <w:rFonts w:eastAsia="宋体"/>
                <w:sz w:val="28"/>
                <w:szCs w:val="28"/>
              </w:rPr>
              <w:t>/</w:t>
            </w:r>
            <w:r>
              <w:rPr>
                <w:rFonts w:hAnsi="宋体" w:eastAsia="宋体"/>
                <w:sz w:val="28"/>
                <w:szCs w:val="28"/>
              </w:rPr>
              <w:t>年</w:t>
            </w:r>
          </w:p>
        </w:tc>
      </w:tr>
    </w:tbl>
    <w:p>
      <w:pPr>
        <w:spacing w:line="560" w:lineRule="exact"/>
        <w:ind w:firstLine="320" w:firstLineChars="100"/>
        <w:jc w:val="left"/>
        <w:rPr>
          <w:rFonts w:eastAsia="宋体"/>
          <w:szCs w:val="32"/>
        </w:rPr>
        <w:sectPr>
          <w:footerReference r:id="rId3" w:type="default"/>
          <w:footerReference r:id="rId4" w:type="even"/>
          <w:pgSz w:w="11906" w:h="16838"/>
          <w:pgMar w:top="2098" w:right="1588" w:bottom="1985" w:left="1588" w:header="851" w:footer="850" w:gutter="0"/>
          <w:cols w:space="425" w:num="1"/>
          <w:docGrid w:type="lines" w:linePitch="312" w:charSpace="0"/>
        </w:sectPr>
      </w:pPr>
    </w:p>
    <w:p>
      <w:pPr>
        <w:spacing w:line="560" w:lineRule="exact"/>
        <w:ind w:firstLine="318" w:firstLineChars="100"/>
        <w:jc w:val="left"/>
        <w:rPr>
          <w:rFonts w:eastAsia="宋体"/>
          <w:szCs w:val="32"/>
        </w:rPr>
      </w:pPr>
      <w:r>
        <w:rPr>
          <w:rFonts w:hAnsi="宋体" w:eastAsia="宋体"/>
          <w:szCs w:val="32"/>
        </w:rPr>
        <w:t>二、排污信息</w:t>
      </w:r>
    </w:p>
    <w:tbl>
      <w:tblPr>
        <w:tblStyle w:val="25"/>
        <w:tblW w:w="13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304"/>
        <w:gridCol w:w="993"/>
        <w:gridCol w:w="1559"/>
        <w:gridCol w:w="1134"/>
        <w:gridCol w:w="938"/>
        <w:gridCol w:w="851"/>
        <w:gridCol w:w="1134"/>
        <w:gridCol w:w="1275"/>
        <w:gridCol w:w="2506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22" w:type="dxa"/>
            <w:gridSpan w:val="11"/>
          </w:tcPr>
          <w:p>
            <w:pPr>
              <w:spacing w:line="50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Ansi="宋体" w:eastAsia="宋体"/>
                <w:b/>
                <w:sz w:val="24"/>
              </w:rPr>
              <w:t>水污染物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5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排放口数量</w:t>
            </w:r>
          </w:p>
        </w:tc>
        <w:tc>
          <w:tcPr>
            <w:tcW w:w="6617" w:type="dxa"/>
            <w:gridSpan w:val="5"/>
          </w:tcPr>
          <w:p>
            <w:pPr>
              <w:spacing w:line="50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7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排放口编号或名称</w:t>
            </w:r>
          </w:p>
        </w:tc>
        <w:tc>
          <w:tcPr>
            <w:tcW w:w="1304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排放口位置</w:t>
            </w: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排放方式</w:t>
            </w: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主要</w:t>
            </w:r>
            <w:r>
              <w:rPr>
                <w:rFonts w:eastAsia="宋体"/>
                <w:color w:val="000000"/>
                <w:sz w:val="24"/>
              </w:rPr>
              <w:t>/</w:t>
            </w:r>
            <w:r>
              <w:rPr>
                <w:rFonts w:hAnsi="宋体" w:eastAsia="宋体"/>
                <w:color w:val="000000"/>
                <w:sz w:val="24"/>
              </w:rPr>
              <w:t>特征污染物名称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排放浓度（</w:t>
            </w:r>
            <w:r>
              <w:rPr>
                <w:rFonts w:eastAsia="宋体"/>
                <w:color w:val="000000"/>
                <w:sz w:val="24"/>
              </w:rPr>
              <w:t xml:space="preserve">mg/L </w:t>
            </w:r>
            <w:r>
              <w:rPr>
                <w:rFonts w:hAnsi="宋体" w:eastAsia="宋体"/>
                <w:color w:val="000000"/>
                <w:sz w:val="24"/>
              </w:rPr>
              <w:t>）</w:t>
            </w:r>
          </w:p>
        </w:tc>
        <w:tc>
          <w:tcPr>
            <w:tcW w:w="938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监测</w:t>
            </w:r>
          </w:p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方式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监测</w:t>
            </w:r>
          </w:p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排放总量</w:t>
            </w:r>
          </w:p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(</w:t>
            </w:r>
            <w:r>
              <w:rPr>
                <w:rFonts w:hAnsi="宋体" w:eastAsia="宋体"/>
                <w:color w:val="000000"/>
                <w:sz w:val="24"/>
              </w:rPr>
              <w:t>吨</w:t>
            </w:r>
            <w:r>
              <w:rPr>
                <w:rFonts w:eastAsia="宋体"/>
                <w:color w:val="000000"/>
                <w:sz w:val="24"/>
              </w:rPr>
              <w:t>)</w:t>
            </w:r>
          </w:p>
        </w:tc>
        <w:tc>
          <w:tcPr>
            <w:tcW w:w="1275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核定的排放总量（吨）</w:t>
            </w:r>
          </w:p>
        </w:tc>
        <w:tc>
          <w:tcPr>
            <w:tcW w:w="2506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执行的污染物排放标准及浓度限值（</w:t>
            </w:r>
            <w:r>
              <w:rPr>
                <w:rFonts w:eastAsia="宋体"/>
                <w:color w:val="000000"/>
                <w:sz w:val="24"/>
              </w:rPr>
              <w:t>mg/L</w:t>
            </w:r>
            <w:r>
              <w:rPr>
                <w:rFonts w:hAnsi="宋体" w:eastAsia="宋体"/>
                <w:color w:val="000000"/>
                <w:sz w:val="24"/>
              </w:rPr>
              <w:t>）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是否</w:t>
            </w:r>
          </w:p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  <w:jc w:val="center"/>
        </w:trPr>
        <w:tc>
          <w:tcPr>
            <w:tcW w:w="127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标排口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东经</w:t>
            </w:r>
          </w:p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120°25' 55"</w:t>
            </w:r>
          </w:p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北纬</w:t>
            </w:r>
          </w:p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29°17' 20"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纳管</w:t>
            </w: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ind w:left="-95" w:leftChars="-30" w:right="-104" w:rightChars="-33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CODcr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40.79</w:t>
            </w:r>
          </w:p>
        </w:tc>
        <w:tc>
          <w:tcPr>
            <w:tcW w:w="938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自动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实时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13.4</w:t>
            </w:r>
          </w:p>
        </w:tc>
        <w:tc>
          <w:tcPr>
            <w:tcW w:w="1275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44.99</w:t>
            </w:r>
          </w:p>
        </w:tc>
        <w:tc>
          <w:tcPr>
            <w:tcW w:w="2506" w:type="dxa"/>
            <w:vAlign w:val="center"/>
          </w:tcPr>
          <w:p>
            <w:pPr>
              <w:spacing w:line="500" w:lineRule="exact"/>
              <w:jc w:val="center"/>
              <w:rPr>
                <w:rFonts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 w:themeColor="text1"/>
                <w:sz w:val="21"/>
                <w:szCs w:val="21"/>
              </w:rPr>
              <w:t>东生态办【2017】12号</w:t>
            </w:r>
          </w:p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 w:themeColor="text1"/>
                <w:sz w:val="21"/>
                <w:szCs w:val="21"/>
              </w:rPr>
              <w:t>纳管标准</w:t>
            </w:r>
            <w:r>
              <w:rPr>
                <w:rFonts w:hAnsi="宋体" w:eastAsia="宋体"/>
                <w:sz w:val="21"/>
                <w:szCs w:val="21"/>
              </w:rPr>
              <w:t>限值：</w:t>
            </w:r>
            <w:r>
              <w:rPr>
                <w:rFonts w:eastAsia="宋体"/>
                <w:sz w:val="21"/>
                <w:szCs w:val="21"/>
              </w:rPr>
              <w:t>100</w:t>
            </w:r>
            <w:r>
              <w:rPr>
                <w:rFonts w:eastAsia="宋体"/>
                <w:color w:val="000000"/>
                <w:sz w:val="21"/>
                <w:szCs w:val="21"/>
              </w:rPr>
              <w:t>mg/L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NH</w:t>
            </w:r>
            <w:r>
              <w:rPr>
                <w:rFonts w:eastAsia="宋体"/>
                <w:sz w:val="21"/>
                <w:szCs w:val="21"/>
                <w:vertAlign w:val="subscript"/>
              </w:rPr>
              <w:t>3</w:t>
            </w:r>
            <w:r>
              <w:rPr>
                <w:rFonts w:eastAsia="宋体"/>
                <w:sz w:val="21"/>
                <w:szCs w:val="21"/>
              </w:rPr>
              <w:t>-N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0.13</w:t>
            </w:r>
          </w:p>
        </w:tc>
        <w:tc>
          <w:tcPr>
            <w:tcW w:w="938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自动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实时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0.44</w:t>
            </w:r>
          </w:p>
        </w:tc>
        <w:tc>
          <w:tcPr>
            <w:tcW w:w="1275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4.5</w:t>
            </w:r>
          </w:p>
        </w:tc>
        <w:tc>
          <w:tcPr>
            <w:tcW w:w="2506" w:type="dxa"/>
            <w:vAlign w:val="center"/>
          </w:tcPr>
          <w:p>
            <w:pPr>
              <w:spacing w:line="500" w:lineRule="exact"/>
              <w:jc w:val="center"/>
              <w:rPr>
                <w:rFonts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 w:themeColor="text1"/>
                <w:sz w:val="21"/>
                <w:szCs w:val="21"/>
              </w:rPr>
              <w:t>东生态办【2017】12号</w:t>
            </w:r>
          </w:p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 w:themeColor="text1"/>
                <w:sz w:val="21"/>
                <w:szCs w:val="21"/>
              </w:rPr>
              <w:t>纳管标准</w:t>
            </w:r>
            <w:r>
              <w:rPr>
                <w:rFonts w:hAnsi="宋体" w:eastAsia="宋体"/>
                <w:sz w:val="21"/>
                <w:szCs w:val="21"/>
              </w:rPr>
              <w:t>限值：</w:t>
            </w:r>
            <w:r>
              <w:rPr>
                <w:rFonts w:hint="eastAsia" w:eastAsia="宋体"/>
                <w:sz w:val="21"/>
                <w:szCs w:val="21"/>
              </w:rPr>
              <w:t>15</w:t>
            </w:r>
            <w:r>
              <w:rPr>
                <w:rFonts w:eastAsia="宋体"/>
                <w:color w:val="000000"/>
                <w:sz w:val="21"/>
                <w:szCs w:val="21"/>
              </w:rPr>
              <w:t>mg/L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否</w:t>
            </w:r>
          </w:p>
        </w:tc>
      </w:tr>
    </w:tbl>
    <w:p>
      <w:pPr>
        <w:spacing w:line="400" w:lineRule="exact"/>
        <w:rPr>
          <w:rFonts w:eastAsia="宋体"/>
        </w:rPr>
      </w:pPr>
      <w:r>
        <w:rPr>
          <w:rFonts w:hAnsi="宋体" w:eastAsia="宋体"/>
        </w:rPr>
        <w:t>备注：纳管企业排放总量是以排放口排放浓度来计算。核定的排放总量是指经环保部门许可的排放量。</w:t>
      </w:r>
      <w:r>
        <w:rPr>
          <w:rFonts w:eastAsia="宋体"/>
        </w:rPr>
        <w:br w:type="page"/>
      </w:r>
      <w:bookmarkStart w:id="0" w:name="_GoBack"/>
      <w:bookmarkEnd w:id="0"/>
    </w:p>
    <w:tbl>
      <w:tblPr>
        <w:tblStyle w:val="25"/>
        <w:tblW w:w="13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304"/>
        <w:gridCol w:w="993"/>
        <w:gridCol w:w="1559"/>
        <w:gridCol w:w="1134"/>
        <w:gridCol w:w="938"/>
        <w:gridCol w:w="851"/>
        <w:gridCol w:w="1134"/>
        <w:gridCol w:w="1275"/>
        <w:gridCol w:w="2464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Ansi="宋体" w:eastAsia="宋体"/>
                <w:b/>
                <w:sz w:val="28"/>
                <w:szCs w:val="28"/>
              </w:rPr>
              <w:t>大气污染物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5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排放口数量</w:t>
            </w:r>
          </w:p>
        </w:tc>
        <w:tc>
          <w:tcPr>
            <w:tcW w:w="662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7" w:type="dxa"/>
            <w:vAlign w:val="center"/>
          </w:tcPr>
          <w:p>
            <w:pPr>
              <w:spacing w:line="6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排放口编号或名称</w:t>
            </w:r>
          </w:p>
        </w:tc>
        <w:tc>
          <w:tcPr>
            <w:tcW w:w="1304" w:type="dxa"/>
            <w:vAlign w:val="center"/>
          </w:tcPr>
          <w:p>
            <w:pPr>
              <w:spacing w:line="6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排放口位置</w:t>
            </w:r>
          </w:p>
        </w:tc>
        <w:tc>
          <w:tcPr>
            <w:tcW w:w="993" w:type="dxa"/>
            <w:vAlign w:val="center"/>
          </w:tcPr>
          <w:p>
            <w:pPr>
              <w:spacing w:line="6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排放方式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主要</w:t>
            </w:r>
            <w:r>
              <w:rPr>
                <w:rFonts w:eastAsia="宋体"/>
                <w:sz w:val="24"/>
              </w:rPr>
              <w:t>/</w:t>
            </w:r>
            <w:r>
              <w:rPr>
                <w:rFonts w:hAnsi="宋体" w:eastAsia="宋体"/>
                <w:sz w:val="24"/>
              </w:rPr>
              <w:t>特征污染物名称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排放浓度（</w:t>
            </w:r>
            <w:r>
              <w:rPr>
                <w:rFonts w:eastAsia="宋体"/>
                <w:sz w:val="24"/>
              </w:rPr>
              <w:t>mg/m</w:t>
            </w:r>
            <w:r>
              <w:rPr>
                <w:rFonts w:eastAsia="宋体"/>
                <w:sz w:val="24"/>
                <w:vertAlign w:val="superscript"/>
              </w:rPr>
              <w:t>3</w:t>
            </w:r>
            <w:r>
              <w:rPr>
                <w:rFonts w:hAnsi="宋体" w:eastAsia="宋体"/>
                <w:sz w:val="24"/>
              </w:rPr>
              <w:t>）</w:t>
            </w: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监测</w:t>
            </w:r>
          </w:p>
          <w:p>
            <w:pPr>
              <w:spacing w:line="6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监测</w:t>
            </w:r>
          </w:p>
          <w:p>
            <w:pPr>
              <w:spacing w:line="6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方式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排放总量</w:t>
            </w:r>
            <w:r>
              <w:rPr>
                <w:rFonts w:eastAsia="宋体"/>
                <w:sz w:val="24"/>
              </w:rPr>
              <w:t>(</w:t>
            </w:r>
            <w:r>
              <w:rPr>
                <w:rFonts w:hAnsi="宋体" w:eastAsia="宋体"/>
                <w:sz w:val="24"/>
              </w:rPr>
              <w:t>吨</w:t>
            </w:r>
            <w:r>
              <w:rPr>
                <w:rFonts w:eastAsia="宋体"/>
                <w:sz w:val="24"/>
              </w:rPr>
              <w:t>)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核定的排放总量（吨）</w:t>
            </w: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执行的污染物排放标准及浓度限值（</w:t>
            </w:r>
            <w:r>
              <w:rPr>
                <w:rFonts w:eastAsia="宋体"/>
                <w:sz w:val="24"/>
              </w:rPr>
              <w:t>mg/m</w:t>
            </w:r>
            <w:r>
              <w:rPr>
                <w:rFonts w:eastAsia="宋体"/>
                <w:sz w:val="24"/>
                <w:vertAlign w:val="superscript"/>
              </w:rPr>
              <w:t>3</w:t>
            </w:r>
            <w:r>
              <w:rPr>
                <w:rFonts w:hAnsi="宋体" w:eastAsia="宋体"/>
                <w:sz w:val="24"/>
              </w:rPr>
              <w:t>）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是否</w:t>
            </w:r>
          </w:p>
          <w:p>
            <w:pPr>
              <w:spacing w:line="6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  <w:jc w:val="center"/>
        </w:trPr>
        <w:tc>
          <w:tcPr>
            <w:tcW w:w="1277" w:type="dxa"/>
            <w:vMerge w:val="restart"/>
            <w:vAlign w:val="center"/>
          </w:tcPr>
          <w:p>
            <w:pPr>
              <w:spacing w:line="600" w:lineRule="exact"/>
              <w:ind w:left="-159" w:leftChars="-50" w:right="-159" w:rightChars="-5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焚烧炉烟囱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东经</w:t>
            </w:r>
          </w:p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120°25' 55"</w:t>
            </w:r>
          </w:p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北纬</w:t>
            </w:r>
          </w:p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29°17' 20"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排环境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  <w:vertAlign w:val="subscript"/>
              </w:rPr>
            </w:pPr>
            <w:r>
              <w:rPr>
                <w:rFonts w:eastAsia="宋体"/>
                <w:sz w:val="21"/>
                <w:szCs w:val="21"/>
              </w:rPr>
              <w:t>SO</w:t>
            </w:r>
            <w:r>
              <w:rPr>
                <w:rFonts w:eastAsia="宋体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10.2</w:t>
            </w: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定期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手</w:t>
            </w:r>
            <w:r>
              <w:rPr>
                <w:rFonts w:hint="eastAsia" w:hAnsi="宋体" w:eastAsia="宋体"/>
                <w:sz w:val="21"/>
                <w:szCs w:val="21"/>
              </w:rPr>
              <w:t>工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2.3</w:t>
            </w:r>
          </w:p>
        </w:tc>
        <w:tc>
          <w:tcPr>
            <w:tcW w:w="1275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64.24</w:t>
            </w: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《</w:t>
            </w:r>
            <w:r>
              <w:rPr>
                <w:rFonts w:hint="eastAsia" w:hAnsi="宋体" w:eastAsia="宋体"/>
                <w:sz w:val="21"/>
                <w:szCs w:val="21"/>
                <w:lang w:val="en-US" w:eastAsia="zh-CN"/>
              </w:rPr>
              <w:t>危险废物焚烧污染控制标准</w:t>
            </w:r>
            <w:r>
              <w:rPr>
                <w:rFonts w:eastAsia="宋体"/>
                <w:sz w:val="21"/>
                <w:szCs w:val="21"/>
              </w:rPr>
              <w:t>GB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18484</w:t>
            </w:r>
            <w:r>
              <w:rPr>
                <w:rFonts w:eastAsia="宋体"/>
                <w:sz w:val="21"/>
                <w:szCs w:val="21"/>
              </w:rPr>
              <w:t>-20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01</w:t>
            </w:r>
            <w:r>
              <w:rPr>
                <w:rFonts w:hAnsi="宋体" w:eastAsia="宋体"/>
                <w:sz w:val="21"/>
                <w:szCs w:val="21"/>
              </w:rPr>
              <w:t>》</w:t>
            </w:r>
          </w:p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浓度限值：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</w:rPr>
              <w:t>0</w:t>
            </w:r>
            <w:r>
              <w:rPr>
                <w:rFonts w:eastAsia="宋体"/>
                <w:sz w:val="21"/>
                <w:szCs w:val="21"/>
              </w:rPr>
              <w:t>0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sz w:val="21"/>
                <w:szCs w:val="21"/>
              </w:rPr>
              <w:t>mg/L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spacing w:line="6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  <w:vertAlign w:val="subscript"/>
              </w:rPr>
            </w:pPr>
            <w:r>
              <w:rPr>
                <w:rFonts w:eastAsia="宋体"/>
                <w:sz w:val="21"/>
                <w:szCs w:val="21"/>
              </w:rPr>
              <w:t>NO</w:t>
            </w:r>
            <w:r>
              <w:rPr>
                <w:rFonts w:eastAsia="宋体"/>
                <w:sz w:val="21"/>
                <w:szCs w:val="21"/>
                <w:vertAlign w:val="subscript"/>
              </w:rPr>
              <w:t>X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61.2</w:t>
            </w: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定期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手</w:t>
            </w:r>
            <w:r>
              <w:rPr>
                <w:rFonts w:hint="eastAsia" w:hAnsi="宋体" w:eastAsia="宋体"/>
                <w:sz w:val="21"/>
                <w:szCs w:val="21"/>
              </w:rPr>
              <w:t>工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6.48</w:t>
            </w:r>
          </w:p>
        </w:tc>
        <w:tc>
          <w:tcPr>
            <w:tcW w:w="1275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99.89</w:t>
            </w: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《</w:t>
            </w:r>
            <w:r>
              <w:rPr>
                <w:rFonts w:hint="eastAsia" w:hAnsi="宋体" w:eastAsia="宋体"/>
                <w:sz w:val="21"/>
                <w:szCs w:val="21"/>
                <w:lang w:val="en-US" w:eastAsia="zh-CN"/>
              </w:rPr>
              <w:t>危险废物焚烧污染控制标准</w:t>
            </w:r>
            <w:r>
              <w:rPr>
                <w:rFonts w:eastAsia="宋体"/>
                <w:sz w:val="21"/>
                <w:szCs w:val="21"/>
              </w:rPr>
              <w:t>GB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18484</w:t>
            </w:r>
            <w:r>
              <w:rPr>
                <w:rFonts w:eastAsia="宋体"/>
                <w:sz w:val="21"/>
                <w:szCs w:val="21"/>
              </w:rPr>
              <w:t>-20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01</w:t>
            </w:r>
            <w:r>
              <w:rPr>
                <w:rFonts w:hAnsi="宋体" w:eastAsia="宋体"/>
                <w:sz w:val="21"/>
                <w:szCs w:val="21"/>
              </w:rPr>
              <w:t>》</w:t>
            </w:r>
          </w:p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浓度限值：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</w:rPr>
              <w:t>0</w:t>
            </w:r>
            <w:r>
              <w:rPr>
                <w:rFonts w:eastAsia="宋体"/>
                <w:sz w:val="21"/>
                <w:szCs w:val="21"/>
              </w:rPr>
              <w:t>0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sz w:val="21"/>
                <w:szCs w:val="21"/>
              </w:rPr>
              <w:t>mg/L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否</w:t>
            </w:r>
          </w:p>
        </w:tc>
      </w:tr>
    </w:tbl>
    <w:p>
      <w:pPr>
        <w:spacing w:line="560" w:lineRule="exact"/>
        <w:rPr>
          <w:rFonts w:eastAsia="宋体"/>
        </w:rPr>
      </w:pPr>
      <w:r>
        <w:rPr>
          <w:rFonts w:eastAsia="宋体"/>
        </w:rPr>
        <w:br w:type="page"/>
      </w:r>
    </w:p>
    <w:tbl>
      <w:tblPr>
        <w:tblStyle w:val="25"/>
        <w:tblW w:w="13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2103"/>
        <w:gridCol w:w="260"/>
        <w:gridCol w:w="1585"/>
        <w:gridCol w:w="1108"/>
        <w:gridCol w:w="917"/>
        <w:gridCol w:w="1918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32" w:type="dxa"/>
            <w:gridSpan w:val="8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Ansi="宋体" w:eastAsia="宋体"/>
                <w:b/>
                <w:sz w:val="28"/>
                <w:szCs w:val="28"/>
              </w:rPr>
              <w:t>固体废物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1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废物名称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是否危险废物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处理处置方式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处理处置数量（</w:t>
            </w:r>
            <w:r>
              <w:rPr>
                <w:rFonts w:hint="eastAsia" w:eastAsia="宋体"/>
                <w:sz w:val="24"/>
                <w:lang w:eastAsia="zh-CN"/>
              </w:rPr>
              <w:t>吨</w:t>
            </w:r>
            <w:r>
              <w:rPr>
                <w:rFonts w:hAnsi="宋体" w:eastAsia="宋体"/>
                <w:sz w:val="24"/>
              </w:rPr>
              <w:t>）</w:t>
            </w:r>
          </w:p>
        </w:tc>
        <w:tc>
          <w:tcPr>
            <w:tcW w:w="3370" w:type="dxa"/>
            <w:vAlign w:val="center"/>
          </w:tcPr>
          <w:p>
            <w:pPr>
              <w:spacing w:line="500" w:lineRule="exact"/>
              <w:ind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处置去向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1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发酵菌渣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是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综合利用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hint="default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 w:eastAsia="宋体"/>
                <w:sz w:val="21"/>
                <w:szCs w:val="21"/>
                <w:lang w:val="en-US" w:eastAsia="zh-CN"/>
              </w:rPr>
              <w:t>4518.7</w:t>
            </w:r>
          </w:p>
        </w:tc>
        <w:tc>
          <w:tcPr>
            <w:tcW w:w="3370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公司内部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1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脱色废渣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是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综合利用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hint="default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 w:eastAsia="宋体"/>
                <w:sz w:val="21"/>
                <w:szCs w:val="21"/>
                <w:lang w:val="en-US" w:eastAsia="zh-CN"/>
              </w:rPr>
              <w:t xml:space="preserve">62.3007 </w:t>
            </w:r>
          </w:p>
        </w:tc>
        <w:tc>
          <w:tcPr>
            <w:tcW w:w="3370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公司内部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1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环保污泥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否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综合利用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hint="default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 w:eastAsia="宋体"/>
                <w:sz w:val="21"/>
                <w:szCs w:val="21"/>
                <w:lang w:val="en-US" w:eastAsia="zh-CN"/>
              </w:rPr>
              <w:t>1305.6</w:t>
            </w:r>
          </w:p>
        </w:tc>
        <w:tc>
          <w:tcPr>
            <w:tcW w:w="3370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公司内部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1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废</w:t>
            </w:r>
            <w:r>
              <w:rPr>
                <w:rFonts w:hint="eastAsia" w:hAnsi="宋体" w:eastAsia="宋体"/>
                <w:sz w:val="21"/>
                <w:szCs w:val="21"/>
              </w:rPr>
              <w:t>包装</w:t>
            </w:r>
            <w:r>
              <w:rPr>
                <w:rFonts w:hAnsi="宋体" w:eastAsia="宋体"/>
                <w:sz w:val="21"/>
                <w:szCs w:val="21"/>
              </w:rPr>
              <w:t>袋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是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委托处置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hint="default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 w:eastAsia="宋体"/>
                <w:sz w:val="21"/>
                <w:szCs w:val="21"/>
                <w:lang w:val="en-US" w:eastAsia="zh-CN"/>
              </w:rPr>
              <w:t>0.794</w:t>
            </w:r>
          </w:p>
        </w:tc>
        <w:tc>
          <w:tcPr>
            <w:tcW w:w="3370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金华市莱逸园环保科技开发有限公司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1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废滤芯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是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委托处置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hint="default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 w:eastAsia="宋体"/>
                <w:sz w:val="21"/>
                <w:szCs w:val="21"/>
                <w:lang w:val="en-US" w:eastAsia="zh-CN"/>
              </w:rPr>
              <w:t>1.1324</w:t>
            </w:r>
          </w:p>
        </w:tc>
        <w:tc>
          <w:tcPr>
            <w:tcW w:w="3370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金华市莱逸园环保科技开发有限公司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1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废矿物油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是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委托处置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hint="default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 w:eastAsia="宋体"/>
                <w:sz w:val="21"/>
                <w:szCs w:val="21"/>
                <w:lang w:val="en-US" w:eastAsia="zh-CN"/>
              </w:rPr>
              <w:t>3.1094</w:t>
            </w:r>
          </w:p>
        </w:tc>
        <w:tc>
          <w:tcPr>
            <w:tcW w:w="3370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东阳市易源环保科技有限公司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32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Ansi="宋体" w:eastAsia="宋体"/>
                <w:b/>
                <w:sz w:val="28"/>
                <w:szCs w:val="28"/>
              </w:rPr>
              <w:t>噪声（</w:t>
            </w:r>
            <w:r>
              <w:rPr>
                <w:rFonts w:hAnsi="宋体" w:eastAsia="宋体"/>
                <w:b/>
                <w:color w:val="000000"/>
                <w:sz w:val="28"/>
                <w:szCs w:val="28"/>
              </w:rPr>
              <w:t>周边有噪声敏感建筑物的单位应当公开，其他单位自愿公开）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厂界位置</w:t>
            </w:r>
          </w:p>
        </w:tc>
        <w:tc>
          <w:tcPr>
            <w:tcW w:w="394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噪声值（</w:t>
            </w:r>
            <w:r>
              <w:rPr>
                <w:rFonts w:eastAsia="宋体"/>
                <w:color w:val="000000"/>
                <w:sz w:val="24"/>
              </w:rPr>
              <w:t>dB</w:t>
            </w:r>
            <w:r>
              <w:rPr>
                <w:rFonts w:hAnsi="宋体" w:eastAsia="宋体"/>
                <w:color w:val="000000"/>
                <w:sz w:val="24"/>
              </w:rPr>
              <w:t>）</w:t>
            </w:r>
          </w:p>
        </w:tc>
        <w:tc>
          <w:tcPr>
            <w:tcW w:w="394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执行的厂界噪声排放标准限值（</w:t>
            </w:r>
            <w:r>
              <w:rPr>
                <w:rFonts w:eastAsia="宋体"/>
                <w:color w:val="000000"/>
                <w:sz w:val="24"/>
              </w:rPr>
              <w:t>dB</w:t>
            </w:r>
            <w:r>
              <w:rPr>
                <w:rFonts w:hAnsi="宋体" w:eastAsia="宋体"/>
                <w:color w:val="000000"/>
                <w:sz w:val="24"/>
              </w:rPr>
              <w:t>）</w:t>
            </w:r>
          </w:p>
        </w:tc>
        <w:tc>
          <w:tcPr>
            <w:tcW w:w="337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超标</w:t>
            </w:r>
          </w:p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103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昼间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夜间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昼间</w:t>
            </w:r>
          </w:p>
        </w:tc>
        <w:tc>
          <w:tcPr>
            <w:tcW w:w="1918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夜间</w:t>
            </w:r>
          </w:p>
        </w:tc>
        <w:tc>
          <w:tcPr>
            <w:tcW w:w="33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71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厂界东</w:t>
            </w:r>
          </w:p>
        </w:tc>
        <w:tc>
          <w:tcPr>
            <w:tcW w:w="2103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hint="default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 w:eastAsia="宋体"/>
                <w:sz w:val="21"/>
                <w:szCs w:val="21"/>
                <w:lang w:val="en-US" w:eastAsia="zh-CN"/>
              </w:rPr>
              <w:t>60.1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hint="default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 w:eastAsia="宋体"/>
                <w:sz w:val="21"/>
                <w:szCs w:val="21"/>
                <w:lang w:val="en-US" w:eastAsia="zh-CN"/>
              </w:rPr>
              <w:t>50.6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918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370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2571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厂界南</w:t>
            </w:r>
          </w:p>
        </w:tc>
        <w:tc>
          <w:tcPr>
            <w:tcW w:w="2103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hint="eastAsia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 w:eastAsia="宋体"/>
                <w:sz w:val="21"/>
                <w:szCs w:val="21"/>
                <w:lang w:val="en-US" w:eastAsia="zh-CN"/>
              </w:rPr>
              <w:t>50.3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hint="eastAsia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 w:eastAsia="宋体"/>
                <w:sz w:val="21"/>
                <w:szCs w:val="21"/>
                <w:lang w:val="en-US" w:eastAsia="zh-CN"/>
              </w:rPr>
              <w:t>49.9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918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370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1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厂界西</w:t>
            </w:r>
          </w:p>
        </w:tc>
        <w:tc>
          <w:tcPr>
            <w:tcW w:w="2103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hint="eastAsia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 w:eastAsia="宋体"/>
                <w:sz w:val="21"/>
                <w:szCs w:val="21"/>
                <w:lang w:val="en-US" w:eastAsia="zh-CN"/>
              </w:rPr>
              <w:t>57.6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hint="eastAsia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 w:eastAsia="宋体"/>
                <w:sz w:val="21"/>
                <w:szCs w:val="21"/>
                <w:lang w:val="en-US" w:eastAsia="zh-CN"/>
              </w:rPr>
              <w:t>50.3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918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370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71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厂界北</w:t>
            </w:r>
          </w:p>
        </w:tc>
        <w:tc>
          <w:tcPr>
            <w:tcW w:w="2103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hint="eastAsia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 w:eastAsia="宋体"/>
                <w:sz w:val="21"/>
                <w:szCs w:val="21"/>
                <w:lang w:val="en-US" w:eastAsia="zh-CN"/>
              </w:rPr>
              <w:t>50.9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hint="eastAsia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 w:eastAsia="宋体"/>
                <w:sz w:val="21"/>
                <w:szCs w:val="21"/>
                <w:lang w:val="en-US" w:eastAsia="zh-CN"/>
              </w:rPr>
              <w:t>48.8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918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370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32" w:type="dxa"/>
            <w:gridSpan w:val="8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b/>
                <w:color w:val="000000"/>
                <w:sz w:val="28"/>
                <w:szCs w:val="28"/>
              </w:rPr>
              <w:t>其他污染类型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832" w:type="dxa"/>
            <w:gridSpan w:val="8"/>
          </w:tcPr>
          <w:p>
            <w:pPr>
              <w:spacing w:line="5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土壤、地下水监测结果显示公司地块未污染</w:t>
            </w:r>
          </w:p>
        </w:tc>
      </w:tr>
    </w:tbl>
    <w:p>
      <w:pPr>
        <w:spacing w:line="560" w:lineRule="exact"/>
        <w:ind w:firstLine="318" w:firstLineChars="100"/>
        <w:jc w:val="left"/>
        <w:rPr>
          <w:rFonts w:eastAsia="宋体"/>
          <w:szCs w:val="32"/>
        </w:rPr>
      </w:pPr>
      <w:r>
        <w:rPr>
          <w:rFonts w:hAnsi="宋体" w:eastAsia="宋体"/>
          <w:szCs w:val="32"/>
        </w:rPr>
        <w:t>三、防治污染设施的建设和运行情况</w:t>
      </w:r>
    </w:p>
    <w:tbl>
      <w:tblPr>
        <w:tblStyle w:val="25"/>
        <w:tblW w:w="13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74"/>
        <w:gridCol w:w="1515"/>
        <w:gridCol w:w="2153"/>
        <w:gridCol w:w="212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设施类别</w:t>
            </w:r>
          </w:p>
        </w:tc>
        <w:tc>
          <w:tcPr>
            <w:tcW w:w="3874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防治污染设施名称</w:t>
            </w:r>
          </w:p>
        </w:tc>
        <w:tc>
          <w:tcPr>
            <w:tcW w:w="1515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投运时间</w:t>
            </w:r>
          </w:p>
        </w:tc>
        <w:tc>
          <w:tcPr>
            <w:tcW w:w="2153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处理能力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运行情况</w:t>
            </w: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运维单位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水污染物</w:t>
            </w:r>
          </w:p>
        </w:tc>
        <w:tc>
          <w:tcPr>
            <w:tcW w:w="3874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废水处理系统</w:t>
            </w:r>
          </w:p>
        </w:tc>
        <w:tc>
          <w:tcPr>
            <w:tcW w:w="1515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20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13</w:t>
            </w:r>
            <w:r>
              <w:rPr>
                <w:rFonts w:eastAsia="宋体"/>
                <w:color w:val="000000"/>
                <w:sz w:val="21"/>
                <w:szCs w:val="21"/>
              </w:rPr>
              <w:t>.12</w:t>
            </w:r>
          </w:p>
        </w:tc>
        <w:tc>
          <w:tcPr>
            <w:tcW w:w="2153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3000（t/d）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达标排放</w:t>
            </w: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大气污染物</w:t>
            </w:r>
          </w:p>
        </w:tc>
        <w:tc>
          <w:tcPr>
            <w:tcW w:w="3874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布袋除尘、炉内脱硫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SNCR脱硝</w:t>
            </w:r>
          </w:p>
        </w:tc>
        <w:tc>
          <w:tcPr>
            <w:tcW w:w="1515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2013.07</w:t>
            </w:r>
          </w:p>
        </w:tc>
        <w:tc>
          <w:tcPr>
            <w:tcW w:w="2153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52560（m3/h）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达标排放</w:t>
            </w: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固体废物</w:t>
            </w:r>
          </w:p>
        </w:tc>
        <w:tc>
          <w:tcPr>
            <w:tcW w:w="3874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焚烧炉</w:t>
            </w:r>
          </w:p>
        </w:tc>
        <w:tc>
          <w:tcPr>
            <w:tcW w:w="1515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2013.07</w:t>
            </w:r>
          </w:p>
        </w:tc>
        <w:tc>
          <w:tcPr>
            <w:tcW w:w="2153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30000（t/a）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正常运行</w:t>
            </w: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噪声</w:t>
            </w:r>
          </w:p>
        </w:tc>
        <w:tc>
          <w:tcPr>
            <w:tcW w:w="3874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1515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2153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3874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在线自动监控系统</w:t>
            </w:r>
          </w:p>
        </w:tc>
        <w:tc>
          <w:tcPr>
            <w:tcW w:w="1515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2007.12</w:t>
            </w:r>
          </w:p>
        </w:tc>
        <w:tc>
          <w:tcPr>
            <w:tcW w:w="2153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pH、COD、氨氮、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总磷、总氮、</w:t>
            </w:r>
            <w:r>
              <w:rPr>
                <w:rFonts w:eastAsia="宋体"/>
                <w:color w:val="000000"/>
                <w:sz w:val="21"/>
                <w:szCs w:val="21"/>
              </w:rPr>
              <w:t>流量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正常运行</w:t>
            </w: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环茂自控科技有限公司</w:t>
            </w:r>
            <w:r>
              <w:rPr>
                <w:rFonts w:eastAsia="宋体"/>
                <w:color w:val="000000"/>
                <w:sz w:val="21"/>
                <w:szCs w:val="21"/>
              </w:rPr>
              <w:t>有限公司</w:t>
            </w:r>
          </w:p>
        </w:tc>
      </w:tr>
    </w:tbl>
    <w:p>
      <w:pPr>
        <w:spacing w:line="560" w:lineRule="exact"/>
        <w:ind w:firstLine="203" w:firstLineChars="64"/>
        <w:rPr>
          <w:rFonts w:hAnsi="宋体" w:eastAsia="宋体"/>
          <w:szCs w:val="32"/>
        </w:rPr>
      </w:pPr>
    </w:p>
    <w:p>
      <w:pPr>
        <w:spacing w:line="560" w:lineRule="exact"/>
        <w:ind w:firstLine="203" w:firstLineChars="64"/>
        <w:rPr>
          <w:rFonts w:hAnsi="宋体" w:eastAsia="宋体"/>
          <w:szCs w:val="32"/>
        </w:rPr>
      </w:pPr>
    </w:p>
    <w:p>
      <w:pPr>
        <w:spacing w:line="560" w:lineRule="exact"/>
        <w:ind w:firstLine="203" w:firstLineChars="64"/>
        <w:rPr>
          <w:rFonts w:hAnsi="宋体" w:eastAsia="宋体"/>
          <w:szCs w:val="32"/>
        </w:rPr>
      </w:pPr>
    </w:p>
    <w:p>
      <w:pPr>
        <w:spacing w:line="560" w:lineRule="exact"/>
        <w:ind w:firstLine="203" w:firstLineChars="64"/>
        <w:rPr>
          <w:rFonts w:hAnsi="宋体" w:eastAsia="宋体"/>
          <w:szCs w:val="32"/>
        </w:rPr>
      </w:pPr>
    </w:p>
    <w:p>
      <w:pPr>
        <w:spacing w:line="560" w:lineRule="exact"/>
        <w:ind w:firstLine="203" w:firstLineChars="64"/>
        <w:rPr>
          <w:rFonts w:hAnsi="宋体" w:eastAsia="宋体"/>
          <w:szCs w:val="32"/>
        </w:rPr>
      </w:pPr>
    </w:p>
    <w:p>
      <w:pPr>
        <w:spacing w:line="560" w:lineRule="exact"/>
        <w:ind w:firstLine="203" w:firstLineChars="64"/>
        <w:rPr>
          <w:rFonts w:hAnsi="宋体" w:eastAsia="宋体"/>
          <w:szCs w:val="32"/>
        </w:rPr>
      </w:pPr>
    </w:p>
    <w:p>
      <w:pPr>
        <w:spacing w:line="560" w:lineRule="exact"/>
        <w:ind w:firstLine="203" w:firstLineChars="64"/>
        <w:rPr>
          <w:rFonts w:hAnsi="宋体" w:eastAsia="宋体"/>
          <w:szCs w:val="32"/>
        </w:rPr>
      </w:pPr>
    </w:p>
    <w:p>
      <w:pPr>
        <w:spacing w:line="560" w:lineRule="exact"/>
        <w:ind w:firstLine="203" w:firstLineChars="64"/>
        <w:rPr>
          <w:rFonts w:hAnsi="宋体" w:eastAsia="宋体"/>
          <w:szCs w:val="32"/>
        </w:rPr>
      </w:pPr>
    </w:p>
    <w:p>
      <w:pPr>
        <w:spacing w:line="560" w:lineRule="exact"/>
        <w:ind w:firstLine="203" w:firstLineChars="64"/>
        <w:rPr>
          <w:rFonts w:eastAsia="宋体"/>
          <w:szCs w:val="32"/>
        </w:rPr>
      </w:pPr>
      <w:r>
        <w:rPr>
          <w:rFonts w:hAnsi="宋体" w:eastAsia="宋体"/>
          <w:szCs w:val="32"/>
        </w:rPr>
        <w:t>四、建设项目环境影响评价及其他环境保护行政许可情况</w:t>
      </w:r>
    </w:p>
    <w:tbl>
      <w:tblPr>
        <w:tblStyle w:val="25"/>
        <w:tblW w:w="14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1"/>
        <w:gridCol w:w="1688"/>
        <w:gridCol w:w="1365"/>
        <w:gridCol w:w="2340"/>
        <w:gridCol w:w="2490"/>
        <w:gridCol w:w="1425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5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br w:type="page"/>
            </w: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建设项目环境影响评价及其他环境保护行政许可情况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307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建设项目名称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环评批复单位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环评批复时间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环评批复文号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竣工验收单位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竣工验收时间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竣工验收文号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07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年产5吨洛伐他汀原料药、年产200万十亿硫酸粘杆菌素原料药技改项目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东阳市环境保护局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2004.07.05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东环（2004）134号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东阳市环境保护局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2006.12.14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7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年产30吨吉他霉素原料药生产线技改项目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东阳市环境保护局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2006.04.04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东环（2006）63号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东阳市环境保护局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2007.12.10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东环开验（2007）30号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07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年产300吨泰乐菌素技改项目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东阳市环境保护局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2010.09.15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东环（2010）300号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东阳市环境保护局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2012.07.04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东环监验（2012）14号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307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年产15000吨兽药预混剂建设项目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东阳市环境保护局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2012.08.06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东环（2012）221号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东阳市环境保护局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2012.12.11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东环（2012）328号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发酵生物制药固废综合利用项目</w:t>
            </w:r>
          </w:p>
        </w:tc>
        <w:tc>
          <w:tcPr>
            <w:tcW w:w="16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东阳市环境保护局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2014.09.29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58" w:beforeAutospacing="0" w:after="0" w:afterAutospacing="0" w:line="400" w:lineRule="exac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东环（2014）273号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东阳市环境保护局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2014.11.19</w:t>
            </w:r>
          </w:p>
        </w:tc>
        <w:tc>
          <w:tcPr>
            <w:tcW w:w="2373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58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东环监验（2014）12号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58" w:beforeAutospacing="0" w:after="0" w:afterAutospacing="0" w:line="400" w:lineRule="exac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浙江普洛生物科技有限公司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2020.10.17</w:t>
            </w:r>
          </w:p>
        </w:tc>
        <w:tc>
          <w:tcPr>
            <w:tcW w:w="2373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58" w:beforeAutospacing="0" w:after="0" w:afterAutospacing="0" w:line="40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07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20吨硫酸安普霉素、100吨马度米星铵、360吨吉他霉素和660吨维生素B2技改项目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东阳市环境保护局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2017.06.29</w:t>
            </w:r>
          </w:p>
        </w:tc>
        <w:tc>
          <w:tcPr>
            <w:tcW w:w="2340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58" w:beforeAutospacing="0" w:after="0" w:afterAutospacing="0" w:line="400" w:lineRule="exac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东环（2017）118号</w:t>
            </w:r>
          </w:p>
        </w:tc>
        <w:tc>
          <w:tcPr>
            <w:tcW w:w="6288" w:type="dxa"/>
            <w:gridSpan w:val="3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58" w:beforeAutospacing="0" w:after="0" w:afterAutospacing="0" w:line="40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未建设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07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年产500吨芬苯达唑粉技改项目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金华市生态环境局东阳分局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2019.04.09</w:t>
            </w:r>
          </w:p>
        </w:tc>
        <w:tc>
          <w:tcPr>
            <w:tcW w:w="2340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58" w:beforeAutospacing="0" w:after="0" w:afterAutospacing="0" w:line="400" w:lineRule="exac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东环建东（2019）19号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浙江普洛生物科技有限公司</w:t>
            </w:r>
          </w:p>
        </w:tc>
        <w:tc>
          <w:tcPr>
            <w:tcW w:w="1425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58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2020.10.17</w:t>
            </w:r>
          </w:p>
        </w:tc>
        <w:tc>
          <w:tcPr>
            <w:tcW w:w="2373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58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07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产品结构调整建设项目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金华市生态环境局东阳分局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2020.09.10</w:t>
            </w:r>
          </w:p>
        </w:tc>
        <w:tc>
          <w:tcPr>
            <w:tcW w:w="2340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58" w:beforeAutospacing="0" w:after="0" w:afterAutospacing="0" w:line="400" w:lineRule="exact"/>
              <w:textAlignment w:val="baseline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东环建东（2020）211号</w:t>
            </w:r>
          </w:p>
        </w:tc>
        <w:tc>
          <w:tcPr>
            <w:tcW w:w="2490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58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25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58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373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58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07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其他环境保护行政许可情况</w:t>
            </w:r>
          </w:p>
        </w:tc>
        <w:tc>
          <w:tcPr>
            <w:tcW w:w="116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</w:tr>
    </w:tbl>
    <w:p>
      <w:pPr>
        <w:spacing w:line="560" w:lineRule="exact"/>
        <w:ind w:firstLine="203" w:firstLineChars="64"/>
        <w:rPr>
          <w:rFonts w:eastAsia="宋体"/>
          <w:szCs w:val="32"/>
        </w:rPr>
      </w:pPr>
      <w:r>
        <w:rPr>
          <w:rFonts w:hAnsi="宋体" w:eastAsia="宋体"/>
          <w:szCs w:val="32"/>
        </w:rPr>
        <w:t>五、突发环境事件应急预案</w:t>
      </w:r>
    </w:p>
    <w:tbl>
      <w:tblPr>
        <w:tblStyle w:val="25"/>
        <w:tblW w:w="13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2912"/>
        <w:gridCol w:w="1954"/>
        <w:gridCol w:w="5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4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Ansi="宋体" w:eastAsia="宋体"/>
                <w:b/>
                <w:sz w:val="28"/>
                <w:szCs w:val="28"/>
              </w:rPr>
              <w:t>突发环境事件应急预案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2364" w:type="dxa"/>
            <w:vAlign w:val="center"/>
          </w:tcPr>
          <w:p>
            <w:pPr>
              <w:spacing w:line="56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备案部门</w:t>
            </w:r>
          </w:p>
        </w:tc>
        <w:tc>
          <w:tcPr>
            <w:tcW w:w="2912" w:type="dxa"/>
            <w:vAlign w:val="center"/>
          </w:tcPr>
          <w:p>
            <w:pPr>
              <w:spacing w:line="560" w:lineRule="exact"/>
              <w:ind w:left="-159" w:leftChars="-50" w:right="-159" w:rightChars="-5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金华市生态环境局东阳分局</w:t>
            </w:r>
          </w:p>
        </w:tc>
        <w:tc>
          <w:tcPr>
            <w:tcW w:w="1954" w:type="dxa"/>
            <w:vAlign w:val="center"/>
          </w:tcPr>
          <w:p>
            <w:pPr>
              <w:spacing w:line="56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备案时间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20</w:t>
            </w:r>
            <w:r>
              <w:rPr>
                <w:rFonts w:hint="eastAsia" w:eastAsia="宋体"/>
                <w:sz w:val="24"/>
                <w:lang w:val="en-US" w:eastAsia="zh-CN"/>
              </w:rPr>
              <w:t>20</w:t>
            </w:r>
            <w:r>
              <w:rPr>
                <w:rFonts w:hint="eastAsia" w:eastAsia="宋体"/>
                <w:sz w:val="24"/>
              </w:rPr>
              <w:t>年1</w:t>
            </w:r>
            <w:r>
              <w:rPr>
                <w:rFonts w:hint="eastAsia" w:eastAsia="宋体"/>
                <w:sz w:val="24"/>
                <w:lang w:val="en-US" w:eastAsia="zh-CN"/>
              </w:rPr>
              <w:t>1</w:t>
            </w:r>
            <w:r>
              <w:rPr>
                <w:rFonts w:hint="eastAsia" w:eastAsia="宋体"/>
                <w:sz w:val="24"/>
              </w:rPr>
              <w:t>月</w:t>
            </w:r>
            <w:r>
              <w:rPr>
                <w:rFonts w:hint="eastAsia" w:eastAsia="宋体"/>
                <w:sz w:val="24"/>
                <w:lang w:val="en-US" w:eastAsia="zh-CN"/>
              </w:rPr>
              <w:t>2</w:t>
            </w:r>
            <w:r>
              <w:rPr>
                <w:rFonts w:hint="eastAsia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364" w:type="dxa"/>
            <w:vAlign w:val="center"/>
          </w:tcPr>
          <w:p>
            <w:pPr>
              <w:spacing w:line="56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主要内容</w:t>
            </w:r>
          </w:p>
        </w:tc>
        <w:tc>
          <w:tcPr>
            <w:tcW w:w="10677" w:type="dxa"/>
            <w:gridSpan w:val="3"/>
            <w:vAlign w:val="center"/>
          </w:tcPr>
          <w:p>
            <w:pPr>
              <w:spacing w:line="560" w:lineRule="exact"/>
              <w:ind w:right="-159" w:rightChars="-50"/>
              <w:rPr>
                <w:rFonts w:hint="default" w:hAnsi="宋体" w:eastAsia="宋体"/>
                <w:sz w:val="24"/>
                <w:lang w:eastAsia="zh-CN"/>
              </w:rPr>
            </w:pPr>
            <w:r>
              <w:rPr>
                <w:rFonts w:hint="eastAsia" w:hAnsi="宋体" w:eastAsia="宋体"/>
                <w:sz w:val="24"/>
                <w:lang w:eastAsia="zh-CN"/>
              </w:rPr>
              <w:t>1、公司</w:t>
            </w:r>
            <w:r>
              <w:rPr>
                <w:rFonts w:hint="default" w:hAnsi="宋体" w:eastAsia="宋体"/>
                <w:sz w:val="24"/>
                <w:lang w:eastAsia="zh-CN"/>
              </w:rPr>
              <w:t>基本情况</w:t>
            </w:r>
            <w:r>
              <w:rPr>
                <w:rFonts w:hint="eastAsia" w:hAnsi="宋体" w:eastAsia="宋体"/>
                <w:sz w:val="24"/>
                <w:lang w:eastAsia="zh-CN"/>
              </w:rPr>
              <w:t xml:space="preserve">    </w:t>
            </w:r>
            <w:r>
              <w:rPr>
                <w:rFonts w:hint="default" w:hAnsi="宋体" w:eastAsia="宋体"/>
                <w:sz w:val="24"/>
                <w:lang w:eastAsia="zh-CN"/>
              </w:rPr>
              <w:t>2、环境危险源及其环境风险</w:t>
            </w:r>
            <w:r>
              <w:rPr>
                <w:rFonts w:hint="eastAsia" w:hAnsi="宋体" w:eastAsia="宋体"/>
                <w:sz w:val="24"/>
                <w:lang w:eastAsia="zh-CN"/>
              </w:rPr>
              <w:t xml:space="preserve">   </w:t>
            </w:r>
            <w:r>
              <w:rPr>
                <w:rFonts w:hint="default" w:hAnsi="宋体" w:eastAsia="宋体"/>
                <w:sz w:val="24"/>
                <w:lang w:eastAsia="zh-CN"/>
              </w:rPr>
              <w:t>3、</w:t>
            </w:r>
            <w:r>
              <w:rPr>
                <w:rFonts w:hint="eastAsia" w:hAnsi="宋体" w:eastAsia="宋体"/>
                <w:sz w:val="24"/>
                <w:lang w:eastAsia="zh-CN"/>
              </w:rPr>
              <w:t xml:space="preserve">应急能力建设   </w:t>
            </w:r>
            <w:r>
              <w:rPr>
                <w:rFonts w:hint="default" w:hAnsi="宋体" w:eastAsia="宋体"/>
                <w:sz w:val="24"/>
                <w:lang w:eastAsia="zh-CN"/>
              </w:rPr>
              <w:t>4、组织机构和职责</w:t>
            </w:r>
          </w:p>
          <w:p>
            <w:pPr>
              <w:spacing w:line="560" w:lineRule="exact"/>
              <w:ind w:right="-159" w:rightChars="-50"/>
              <w:rPr>
                <w:rFonts w:hint="default" w:hAnsi="宋体" w:eastAsia="宋体"/>
                <w:sz w:val="24"/>
                <w:lang w:eastAsia="zh-CN"/>
              </w:rPr>
            </w:pPr>
            <w:r>
              <w:rPr>
                <w:rFonts w:hint="default" w:hAnsi="宋体" w:eastAsia="宋体"/>
                <w:sz w:val="24"/>
                <w:lang w:eastAsia="zh-CN"/>
              </w:rPr>
              <w:t>5、预防与预警</w:t>
            </w:r>
            <w:r>
              <w:rPr>
                <w:rFonts w:hint="eastAsia" w:hAnsi="宋体" w:eastAsia="宋体"/>
                <w:sz w:val="24"/>
                <w:lang w:eastAsia="zh-CN"/>
              </w:rPr>
              <w:t xml:space="preserve">及信息报告    </w:t>
            </w:r>
            <w:r>
              <w:rPr>
                <w:rFonts w:hint="default" w:hAnsi="宋体" w:eastAsia="宋体"/>
                <w:sz w:val="24"/>
                <w:lang w:eastAsia="zh-CN"/>
              </w:rPr>
              <w:t>6、应急响应</w:t>
            </w:r>
            <w:r>
              <w:rPr>
                <w:rFonts w:hint="eastAsia" w:hAnsi="宋体" w:eastAsia="宋体"/>
                <w:sz w:val="24"/>
                <w:lang w:eastAsia="zh-CN"/>
              </w:rPr>
              <w:t xml:space="preserve">   </w:t>
            </w:r>
            <w:r>
              <w:rPr>
                <w:rFonts w:hint="default" w:hAnsi="宋体" w:eastAsia="宋体"/>
                <w:sz w:val="24"/>
                <w:lang w:eastAsia="zh-CN"/>
              </w:rPr>
              <w:t>7、</w:t>
            </w:r>
            <w:r>
              <w:rPr>
                <w:rFonts w:hint="eastAsia" w:hAnsi="宋体" w:eastAsia="宋体"/>
                <w:sz w:val="24"/>
                <w:lang w:eastAsia="zh-CN"/>
              </w:rPr>
              <w:t>信息公开    8、</w:t>
            </w:r>
            <w:r>
              <w:rPr>
                <w:rFonts w:hint="default" w:hAnsi="宋体" w:eastAsia="宋体"/>
                <w:sz w:val="24"/>
                <w:lang w:eastAsia="zh-CN"/>
              </w:rPr>
              <w:t>后期处置</w:t>
            </w:r>
            <w:r>
              <w:rPr>
                <w:rFonts w:hint="eastAsia" w:hAnsi="宋体" w:eastAsia="宋体"/>
                <w:sz w:val="24"/>
                <w:lang w:eastAsia="zh-CN"/>
              </w:rPr>
              <w:t xml:space="preserve">    9</w:t>
            </w:r>
            <w:r>
              <w:rPr>
                <w:rFonts w:hint="default" w:hAnsi="宋体" w:eastAsia="宋体"/>
                <w:sz w:val="24"/>
                <w:lang w:eastAsia="zh-CN"/>
              </w:rPr>
              <w:t>、</w:t>
            </w:r>
            <w:r>
              <w:rPr>
                <w:rFonts w:hint="eastAsia" w:hAnsi="宋体" w:eastAsia="宋体"/>
                <w:sz w:val="24"/>
                <w:lang w:eastAsia="zh-CN"/>
              </w:rPr>
              <w:t>保障措施</w:t>
            </w:r>
          </w:p>
          <w:p>
            <w:pPr>
              <w:spacing w:line="560" w:lineRule="exact"/>
              <w:ind w:right="-159" w:rightChars="-50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  <w:lang w:eastAsia="zh-CN"/>
              </w:rPr>
              <w:t>10、预案管理   11、</w:t>
            </w:r>
            <w:r>
              <w:rPr>
                <w:rFonts w:hint="default" w:hAnsi="宋体" w:eastAsia="宋体"/>
                <w:sz w:val="24"/>
                <w:lang w:eastAsia="zh-CN"/>
              </w:rPr>
              <w:t>企业专项预案</w:t>
            </w:r>
            <w:r>
              <w:rPr>
                <w:rFonts w:hint="eastAsia" w:hAnsi="宋体" w:eastAsia="宋体"/>
                <w:sz w:val="24"/>
                <w:lang w:eastAsia="zh-CN"/>
              </w:rPr>
              <w:t xml:space="preserve">    12</w:t>
            </w:r>
            <w:r>
              <w:rPr>
                <w:rFonts w:hint="default" w:hAnsi="宋体" w:eastAsia="宋体"/>
                <w:sz w:val="24"/>
                <w:lang w:eastAsia="zh-CN"/>
              </w:rPr>
              <w:t>、现场处置预案</w:t>
            </w:r>
          </w:p>
        </w:tc>
      </w:tr>
    </w:tbl>
    <w:p>
      <w:pPr>
        <w:spacing w:line="560" w:lineRule="exact"/>
        <w:ind w:firstLine="203" w:firstLineChars="64"/>
        <w:rPr>
          <w:rFonts w:eastAsia="宋体"/>
          <w:szCs w:val="32"/>
        </w:rPr>
      </w:pPr>
      <w:r>
        <w:rPr>
          <w:rFonts w:hAnsi="宋体" w:eastAsia="宋体"/>
          <w:szCs w:val="32"/>
        </w:rPr>
        <w:t>六、环境自行监测方案</w:t>
      </w:r>
    </w:p>
    <w:tbl>
      <w:tblPr>
        <w:tblStyle w:val="25"/>
        <w:tblW w:w="13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10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主要内容</w:t>
            </w:r>
          </w:p>
        </w:tc>
        <w:tc>
          <w:tcPr>
            <w:tcW w:w="10928" w:type="dxa"/>
            <w:vAlign w:val="center"/>
          </w:tcPr>
          <w:p>
            <w:pPr>
              <w:spacing w:line="560" w:lineRule="exact"/>
              <w:ind w:right="-159" w:rightChars="-50"/>
              <w:rPr>
                <w:rFonts w:hAnsi="宋体"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1、企业基本情况2、自行监测</w:t>
            </w:r>
            <w:r>
              <w:rPr>
                <w:rFonts w:hint="eastAsia" w:hAnsi="宋体" w:eastAsia="宋体"/>
                <w:sz w:val="24"/>
                <w:lang w:eastAsia="zh-CN"/>
              </w:rPr>
              <w:t>方案</w:t>
            </w:r>
            <w:r>
              <w:rPr>
                <w:rFonts w:hAnsi="宋体" w:eastAsia="宋体"/>
                <w:sz w:val="24"/>
              </w:rPr>
              <w:t>3、</w:t>
            </w:r>
            <w:r>
              <w:rPr>
                <w:rFonts w:hint="eastAsia" w:hAnsi="宋体" w:eastAsia="宋体"/>
                <w:sz w:val="24"/>
                <w:lang w:eastAsia="zh-CN"/>
              </w:rPr>
              <w:t>自行监测执行标准</w:t>
            </w:r>
            <w:r>
              <w:rPr>
                <w:rFonts w:hAnsi="宋体" w:eastAsia="宋体"/>
                <w:sz w:val="24"/>
              </w:rPr>
              <w:t>4、</w:t>
            </w:r>
            <w:r>
              <w:rPr>
                <w:rFonts w:hint="eastAsia" w:hAnsi="宋体" w:eastAsia="宋体"/>
                <w:sz w:val="24"/>
              </w:rPr>
              <w:t>企业在线监测设备信息</w:t>
            </w:r>
          </w:p>
          <w:p>
            <w:pPr>
              <w:spacing w:line="560" w:lineRule="exact"/>
              <w:ind w:right="-159" w:rightChars="-50"/>
              <w:rPr>
                <w:rFonts w:hAnsi="宋体"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5、</w:t>
            </w:r>
            <w:r>
              <w:rPr>
                <w:rFonts w:hint="eastAsia" w:hAnsi="宋体" w:eastAsia="宋体"/>
                <w:sz w:val="24"/>
                <w:lang w:eastAsia="zh-CN"/>
              </w:rPr>
              <w:t>采样和样品保存方法</w:t>
            </w:r>
            <w:r>
              <w:rPr>
                <w:rFonts w:hAnsi="宋体" w:eastAsia="宋体"/>
                <w:sz w:val="24"/>
              </w:rPr>
              <w:t>6、</w:t>
            </w:r>
            <w:r>
              <w:rPr>
                <w:rFonts w:hint="eastAsia" w:hAnsi="宋体" w:eastAsia="宋体"/>
                <w:sz w:val="24"/>
                <w:lang w:eastAsia="zh-CN"/>
              </w:rPr>
              <w:t>质量保证与质量控制</w:t>
            </w:r>
            <w:r>
              <w:rPr>
                <w:rFonts w:hAnsi="宋体" w:eastAsia="宋体"/>
                <w:sz w:val="24"/>
              </w:rPr>
              <w:t>7、</w:t>
            </w:r>
            <w:r>
              <w:rPr>
                <w:rFonts w:hint="default" w:hAnsi="宋体" w:eastAsia="宋体"/>
                <w:sz w:val="24"/>
                <w:lang w:eastAsia="zh-CN"/>
              </w:rPr>
              <w:t>监测结果公开及备案</w:t>
            </w:r>
          </w:p>
          <w:p>
            <w:pPr>
              <w:spacing w:line="560" w:lineRule="exact"/>
              <w:ind w:right="-159" w:rightChars="-50"/>
              <w:rPr>
                <w:sz w:val="24"/>
              </w:rPr>
            </w:pPr>
            <w:r>
              <w:rPr>
                <w:rFonts w:hAnsi="宋体" w:eastAsia="宋体"/>
                <w:sz w:val="24"/>
              </w:rPr>
              <w:t>已在浙江省</w:t>
            </w:r>
            <w:r>
              <w:rPr>
                <w:rFonts w:hint="eastAsia" w:hAnsi="宋体" w:eastAsia="宋体"/>
                <w:sz w:val="24"/>
                <w:lang w:eastAsia="zh-CN"/>
              </w:rPr>
              <w:t>重点污染源监测数据管理系统（http://223.4.64.201:8080/eap/Login.action）</w:t>
            </w:r>
            <w:r>
              <w:rPr>
                <w:rFonts w:hAnsi="宋体" w:eastAsia="宋体"/>
                <w:sz w:val="24"/>
              </w:rPr>
              <w:t>公开</w:t>
            </w:r>
          </w:p>
        </w:tc>
      </w:tr>
    </w:tbl>
    <w:p>
      <w:pPr>
        <w:numPr>
          <w:ilvl w:val="0"/>
          <w:numId w:val="1"/>
        </w:numPr>
        <w:spacing w:line="560" w:lineRule="exact"/>
        <w:ind w:firstLine="203" w:firstLineChars="64"/>
        <w:rPr>
          <w:rFonts w:hAnsi="宋体" w:eastAsia="宋体"/>
          <w:szCs w:val="32"/>
        </w:rPr>
      </w:pPr>
      <w:r>
        <w:rPr>
          <w:rFonts w:hAnsi="宋体" w:eastAsia="宋体"/>
          <w:szCs w:val="32"/>
        </w:rPr>
        <w:t>其他应当公开的环境信息</w:t>
      </w:r>
    </w:p>
    <w:tbl>
      <w:tblPr>
        <w:tblStyle w:val="25"/>
        <w:tblpPr w:leftFromText="180" w:rightFromText="180" w:vertAnchor="text" w:horzAnchor="page" w:tblpX="2001" w:tblpY="176"/>
        <w:tblW w:w="13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10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43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其他应当公开的环境信息</w:t>
            </w:r>
          </w:p>
        </w:tc>
        <w:tc>
          <w:tcPr>
            <w:tcW w:w="10928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无</w:t>
            </w:r>
          </w:p>
        </w:tc>
      </w:tr>
    </w:tbl>
    <w:p>
      <w:pPr>
        <w:numPr>
          <w:ilvl w:val="0"/>
          <w:numId w:val="0"/>
        </w:numPr>
        <w:spacing w:line="560" w:lineRule="exact"/>
        <w:rPr>
          <w:rFonts w:hAnsi="宋体" w:eastAsia="宋体"/>
          <w:szCs w:val="32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247" w:right="2098" w:bottom="1247" w:left="2098" w:header="851" w:footer="850" w:gutter="0"/>
      <w:cols w:space="425" w:num="1"/>
      <w:docGrid w:type="linesAndChars" w:linePitch="577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hakuyoxingshu7000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right="320" w:rightChars="10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pStyle w:val="18"/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left="320" w:left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8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pStyle w:val="18"/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left="320" w:leftChars="100" w:right="320" w:rightChars="100"/>
      <w:jc w:val="right"/>
      <w:rPr>
        <w:rStyle w:val="28"/>
        <w:rFonts w:ascii="宋体" w:hAnsi="宋体" w:eastAsia="宋体"/>
        <w:sz w:val="28"/>
        <w:szCs w:val="28"/>
      </w:rPr>
    </w:pPr>
    <w:r>
      <w:rPr>
        <w:rStyle w:val="28"/>
        <w:rFonts w:hint="eastAsia" w:ascii="宋体" w:hAnsi="宋体" w:eastAsia="宋体"/>
        <w:sz w:val="28"/>
        <w:szCs w:val="28"/>
      </w:rPr>
      <w:t xml:space="preserve">— </w:t>
    </w:r>
    <w:r>
      <w:rPr>
        <w:rStyle w:val="28"/>
        <w:rFonts w:hint="eastAsia" w:ascii="宋体" w:hAnsi="宋体" w:eastAsia="宋体"/>
        <w:sz w:val="28"/>
        <w:szCs w:val="28"/>
      </w:rPr>
      <w:fldChar w:fldCharType="begin"/>
    </w:r>
    <w:r>
      <w:rPr>
        <w:rStyle w:val="28"/>
        <w:rFonts w:hint="eastAsia" w:ascii="宋体" w:hAnsi="宋体" w:eastAsia="宋体"/>
        <w:sz w:val="28"/>
        <w:szCs w:val="28"/>
      </w:rPr>
      <w:instrText xml:space="preserve">PAGE  </w:instrText>
    </w:r>
    <w:r>
      <w:rPr>
        <w:rStyle w:val="28"/>
        <w:rFonts w:hint="eastAsia" w:ascii="宋体" w:hAnsi="宋体" w:eastAsia="宋体"/>
        <w:sz w:val="28"/>
        <w:szCs w:val="28"/>
      </w:rPr>
      <w:fldChar w:fldCharType="separate"/>
    </w:r>
    <w:r>
      <w:rPr>
        <w:rStyle w:val="28"/>
        <w:rFonts w:ascii="宋体" w:hAnsi="宋体" w:eastAsia="宋体"/>
        <w:sz w:val="28"/>
        <w:szCs w:val="28"/>
      </w:rPr>
      <w:t>5</w:t>
    </w:r>
    <w:r>
      <w:rPr>
        <w:rStyle w:val="28"/>
        <w:rFonts w:hint="eastAsia" w:ascii="宋体" w:hAnsi="宋体" w:eastAsia="宋体"/>
        <w:sz w:val="28"/>
        <w:szCs w:val="28"/>
      </w:rPr>
      <w:fldChar w:fldCharType="end"/>
    </w:r>
    <w:r>
      <w:rPr>
        <w:rStyle w:val="28"/>
        <w:rFonts w:hint="eastAsia" w:ascii="宋体" w:hAnsi="宋体" w:eastAsia="宋体"/>
        <w:sz w:val="28"/>
        <w:szCs w:val="28"/>
      </w:rPr>
      <w:t xml:space="preserve"> —</w:t>
    </w:r>
  </w:p>
  <w:p>
    <w:pPr>
      <w:pStyle w:val="18"/>
      <w:ind w:left="320" w:leftChars="100" w:right="320" w:rightChars="100"/>
      <w:jc w:val="right"/>
      <w:rPr>
        <w:rStyle w:val="28"/>
        <w:rFonts w:ascii="宋体" w:hAnsi="宋体" w:eastAsia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left="320" w:leftChars="100" w:right="320" w:rightChars="100"/>
      <w:rPr>
        <w:rStyle w:val="28"/>
        <w:rFonts w:ascii="宋体" w:hAnsi="宋体" w:eastAsia="宋体"/>
        <w:sz w:val="28"/>
        <w:szCs w:val="28"/>
      </w:rPr>
    </w:pPr>
    <w:r>
      <w:rPr>
        <w:rStyle w:val="28"/>
        <w:rFonts w:hint="eastAsia" w:ascii="宋体" w:hAnsi="宋体" w:eastAsia="宋体"/>
        <w:sz w:val="28"/>
        <w:szCs w:val="28"/>
      </w:rPr>
      <w:t xml:space="preserve">— </w:t>
    </w:r>
    <w:r>
      <w:rPr>
        <w:rStyle w:val="28"/>
        <w:rFonts w:hint="eastAsia" w:ascii="宋体" w:hAnsi="宋体" w:eastAsia="宋体"/>
        <w:sz w:val="28"/>
        <w:szCs w:val="28"/>
      </w:rPr>
      <w:fldChar w:fldCharType="begin"/>
    </w:r>
    <w:r>
      <w:rPr>
        <w:rStyle w:val="28"/>
        <w:rFonts w:hint="eastAsia" w:ascii="宋体" w:hAnsi="宋体" w:eastAsia="宋体"/>
        <w:sz w:val="28"/>
        <w:szCs w:val="28"/>
      </w:rPr>
      <w:instrText xml:space="preserve">PAGE  </w:instrText>
    </w:r>
    <w:r>
      <w:rPr>
        <w:rStyle w:val="28"/>
        <w:rFonts w:hint="eastAsia" w:ascii="宋体" w:hAnsi="宋体" w:eastAsia="宋体"/>
        <w:sz w:val="28"/>
        <w:szCs w:val="28"/>
      </w:rPr>
      <w:fldChar w:fldCharType="separate"/>
    </w:r>
    <w:r>
      <w:rPr>
        <w:rStyle w:val="28"/>
        <w:rFonts w:ascii="宋体" w:hAnsi="宋体" w:eastAsia="宋体"/>
        <w:sz w:val="28"/>
        <w:szCs w:val="28"/>
      </w:rPr>
      <w:t>26</w:t>
    </w:r>
    <w:r>
      <w:rPr>
        <w:rStyle w:val="28"/>
        <w:rFonts w:hint="eastAsia" w:ascii="宋体" w:hAnsi="宋体" w:eastAsia="宋体"/>
        <w:sz w:val="28"/>
        <w:szCs w:val="28"/>
      </w:rPr>
      <w:fldChar w:fldCharType="end"/>
    </w:r>
    <w:r>
      <w:rPr>
        <w:rStyle w:val="28"/>
        <w:rFonts w:hint="eastAsia" w:ascii="宋体" w:hAnsi="宋体" w:eastAsia="宋体"/>
        <w:sz w:val="28"/>
        <w:szCs w:val="28"/>
      </w:rPr>
      <w:t xml:space="preserve"> —</w:t>
    </w:r>
  </w:p>
  <w:p>
    <w:pPr>
      <w:pStyle w:val="18"/>
      <w:ind w:left="320" w:leftChars="100"/>
    </w:pPr>
    <w:r>
      <w:rPr>
        <w:rFonts w:hint="eastAsia"/>
        <w:sz w:val="2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BB9593"/>
    <w:multiLevelType w:val="singleLevel"/>
    <w:tmpl w:val="41BB959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59"/>
  <w:drawingGridVerticalSpacing w:val="57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C29EE"/>
    <w:rsid w:val="000116B4"/>
    <w:rsid w:val="00022435"/>
    <w:rsid w:val="000403F3"/>
    <w:rsid w:val="000B1AB7"/>
    <w:rsid w:val="000B4954"/>
    <w:rsid w:val="000F0714"/>
    <w:rsid w:val="0014301C"/>
    <w:rsid w:val="001550EF"/>
    <w:rsid w:val="00187ADC"/>
    <w:rsid w:val="001973F2"/>
    <w:rsid w:val="001A4D82"/>
    <w:rsid w:val="001C380E"/>
    <w:rsid w:val="001D479A"/>
    <w:rsid w:val="001F6831"/>
    <w:rsid w:val="002014D5"/>
    <w:rsid w:val="00201B05"/>
    <w:rsid w:val="00206DC7"/>
    <w:rsid w:val="00223F2D"/>
    <w:rsid w:val="00234B24"/>
    <w:rsid w:val="0025009A"/>
    <w:rsid w:val="002625E5"/>
    <w:rsid w:val="00282792"/>
    <w:rsid w:val="002C29EE"/>
    <w:rsid w:val="002F52C3"/>
    <w:rsid w:val="002F770F"/>
    <w:rsid w:val="0031523F"/>
    <w:rsid w:val="003371ED"/>
    <w:rsid w:val="003511BA"/>
    <w:rsid w:val="003526AD"/>
    <w:rsid w:val="003C15E4"/>
    <w:rsid w:val="003F482E"/>
    <w:rsid w:val="00410100"/>
    <w:rsid w:val="00427F35"/>
    <w:rsid w:val="00437DF4"/>
    <w:rsid w:val="00473593"/>
    <w:rsid w:val="00480729"/>
    <w:rsid w:val="0048518F"/>
    <w:rsid w:val="0048600C"/>
    <w:rsid w:val="00496C0A"/>
    <w:rsid w:val="004B7957"/>
    <w:rsid w:val="004C0AC0"/>
    <w:rsid w:val="004E2570"/>
    <w:rsid w:val="004E360F"/>
    <w:rsid w:val="004F0E73"/>
    <w:rsid w:val="004F1A85"/>
    <w:rsid w:val="004F513A"/>
    <w:rsid w:val="00532FE6"/>
    <w:rsid w:val="00537F52"/>
    <w:rsid w:val="00546631"/>
    <w:rsid w:val="00554443"/>
    <w:rsid w:val="00573127"/>
    <w:rsid w:val="00587F17"/>
    <w:rsid w:val="005B1B9F"/>
    <w:rsid w:val="005B2AF8"/>
    <w:rsid w:val="005C444B"/>
    <w:rsid w:val="005E541D"/>
    <w:rsid w:val="005E6A9F"/>
    <w:rsid w:val="0062025E"/>
    <w:rsid w:val="00646FD6"/>
    <w:rsid w:val="00647FC5"/>
    <w:rsid w:val="00663AC0"/>
    <w:rsid w:val="006678CB"/>
    <w:rsid w:val="00677D5B"/>
    <w:rsid w:val="006A5A17"/>
    <w:rsid w:val="006A6EB8"/>
    <w:rsid w:val="0070332C"/>
    <w:rsid w:val="00713CAB"/>
    <w:rsid w:val="007F47E4"/>
    <w:rsid w:val="00854932"/>
    <w:rsid w:val="00872E5B"/>
    <w:rsid w:val="00891E17"/>
    <w:rsid w:val="008A4607"/>
    <w:rsid w:val="008C2394"/>
    <w:rsid w:val="00927EBE"/>
    <w:rsid w:val="00942766"/>
    <w:rsid w:val="0094406D"/>
    <w:rsid w:val="009A7E1B"/>
    <w:rsid w:val="009B549A"/>
    <w:rsid w:val="009F40CD"/>
    <w:rsid w:val="009F787B"/>
    <w:rsid w:val="00A325E9"/>
    <w:rsid w:val="00A34B5B"/>
    <w:rsid w:val="00AA750D"/>
    <w:rsid w:val="00AB3664"/>
    <w:rsid w:val="00AC4076"/>
    <w:rsid w:val="00AF624D"/>
    <w:rsid w:val="00B07A43"/>
    <w:rsid w:val="00B24F17"/>
    <w:rsid w:val="00B34D67"/>
    <w:rsid w:val="00BB4DC8"/>
    <w:rsid w:val="00BF3789"/>
    <w:rsid w:val="00C1136A"/>
    <w:rsid w:val="00C872E1"/>
    <w:rsid w:val="00CA3CB3"/>
    <w:rsid w:val="00CB4F63"/>
    <w:rsid w:val="00CC5D65"/>
    <w:rsid w:val="00CF36FA"/>
    <w:rsid w:val="00D04F86"/>
    <w:rsid w:val="00D0597C"/>
    <w:rsid w:val="00D519B8"/>
    <w:rsid w:val="00D569A0"/>
    <w:rsid w:val="00D6252A"/>
    <w:rsid w:val="00D8159F"/>
    <w:rsid w:val="00D96400"/>
    <w:rsid w:val="00D9748F"/>
    <w:rsid w:val="00DA716B"/>
    <w:rsid w:val="00DB1104"/>
    <w:rsid w:val="00DB41A0"/>
    <w:rsid w:val="00DF6A47"/>
    <w:rsid w:val="00E56908"/>
    <w:rsid w:val="00E71802"/>
    <w:rsid w:val="00EB0D2E"/>
    <w:rsid w:val="00EC3EDF"/>
    <w:rsid w:val="00EC463F"/>
    <w:rsid w:val="00ED21ED"/>
    <w:rsid w:val="00F05440"/>
    <w:rsid w:val="00F06EBF"/>
    <w:rsid w:val="00F2565C"/>
    <w:rsid w:val="00F34111"/>
    <w:rsid w:val="00F673A5"/>
    <w:rsid w:val="00F76C5E"/>
    <w:rsid w:val="00F920F7"/>
    <w:rsid w:val="00F971AE"/>
    <w:rsid w:val="00FC3DE5"/>
    <w:rsid w:val="0961576C"/>
    <w:rsid w:val="09AF7E3B"/>
    <w:rsid w:val="1605611C"/>
    <w:rsid w:val="18AF0742"/>
    <w:rsid w:val="199F65CB"/>
    <w:rsid w:val="19D81F11"/>
    <w:rsid w:val="29415A26"/>
    <w:rsid w:val="2DCB0111"/>
    <w:rsid w:val="2EC57FC3"/>
    <w:rsid w:val="2FD95FD8"/>
    <w:rsid w:val="3C4F3E5E"/>
    <w:rsid w:val="52F369E6"/>
    <w:rsid w:val="56200C08"/>
    <w:rsid w:val="5B9E7F71"/>
    <w:rsid w:val="5EF836ED"/>
    <w:rsid w:val="5FF3438A"/>
    <w:rsid w:val="620E6DE9"/>
    <w:rsid w:val="64414EF6"/>
    <w:rsid w:val="6A4C2A21"/>
    <w:rsid w:val="72905C26"/>
    <w:rsid w:val="75213ED6"/>
    <w:rsid w:val="7B644687"/>
    <w:rsid w:val="7D20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ind w:firstLine="640"/>
      <w:jc w:val="left"/>
      <w:outlineLvl w:val="0"/>
    </w:pPr>
    <w:rPr>
      <w:rFonts w:eastAsia="黑体"/>
      <w:kern w:val="44"/>
      <w:sz w:val="28"/>
      <w:szCs w:val="28"/>
    </w:rPr>
  </w:style>
  <w:style w:type="paragraph" w:styleId="3">
    <w:name w:val="heading 2"/>
    <w:basedOn w:val="1"/>
    <w:next w:val="1"/>
    <w:link w:val="35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bCs/>
      <w:kern w:val="0"/>
      <w:sz w:val="20"/>
      <w:szCs w:val="20"/>
    </w:rPr>
  </w:style>
  <w:style w:type="paragraph" w:styleId="4">
    <w:name w:val="heading 3"/>
    <w:basedOn w:val="1"/>
    <w:next w:val="1"/>
    <w:link w:val="36"/>
    <w:qFormat/>
    <w:uiPriority w:val="0"/>
    <w:pPr>
      <w:keepNext/>
      <w:keepLines/>
      <w:spacing w:before="260" w:after="260" w:line="412" w:lineRule="auto"/>
      <w:outlineLvl w:val="2"/>
    </w:pPr>
    <w:rPr>
      <w:b/>
      <w:bCs/>
      <w:kern w:val="0"/>
      <w:szCs w:val="32"/>
    </w:rPr>
  </w:style>
  <w:style w:type="paragraph" w:styleId="5">
    <w:name w:val="heading 4"/>
    <w:basedOn w:val="1"/>
    <w:next w:val="1"/>
    <w:link w:val="37"/>
    <w:qFormat/>
    <w:uiPriority w:val="0"/>
    <w:pPr>
      <w:widowControl/>
      <w:spacing w:line="266" w:lineRule="auto"/>
      <w:jc w:val="left"/>
      <w:outlineLvl w:val="3"/>
    </w:pPr>
    <w:rPr>
      <w:rFonts w:ascii="Cambria" w:hAnsi="Cambria" w:eastAsia="宋体" w:cs="宋体"/>
      <w:b/>
      <w:bCs/>
      <w:spacing w:val="5"/>
      <w:kern w:val="0"/>
      <w:sz w:val="24"/>
      <w:lang w:eastAsia="en-US"/>
    </w:rPr>
  </w:style>
  <w:style w:type="paragraph" w:styleId="6">
    <w:name w:val="heading 5"/>
    <w:basedOn w:val="1"/>
    <w:next w:val="1"/>
    <w:link w:val="38"/>
    <w:qFormat/>
    <w:uiPriority w:val="0"/>
    <w:pPr>
      <w:keepNext/>
      <w:keepLines/>
      <w:spacing w:before="280" w:after="290" w:line="372" w:lineRule="auto"/>
      <w:outlineLvl w:val="4"/>
    </w:pPr>
    <w:rPr>
      <w:rFonts w:eastAsia="宋体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39"/>
    <w:qFormat/>
    <w:uiPriority w:val="0"/>
    <w:pPr>
      <w:widowControl/>
      <w:shd w:val="clear" w:color="auto" w:fill="FFFFFF"/>
      <w:spacing w:line="266" w:lineRule="auto"/>
      <w:jc w:val="left"/>
      <w:outlineLvl w:val="5"/>
    </w:pPr>
    <w:rPr>
      <w:rFonts w:ascii="Cambria" w:hAnsi="Cambria" w:eastAsia="宋体" w:cs="宋体"/>
      <w:b/>
      <w:bCs/>
      <w:color w:val="595959"/>
      <w:spacing w:val="5"/>
      <w:kern w:val="0"/>
      <w:sz w:val="22"/>
      <w:szCs w:val="20"/>
      <w:lang w:eastAsia="en-US"/>
    </w:rPr>
  </w:style>
  <w:style w:type="paragraph" w:styleId="8">
    <w:name w:val="heading 7"/>
    <w:basedOn w:val="1"/>
    <w:next w:val="1"/>
    <w:link w:val="40"/>
    <w:qFormat/>
    <w:uiPriority w:val="0"/>
    <w:pPr>
      <w:widowControl/>
      <w:spacing w:line="276" w:lineRule="auto"/>
      <w:jc w:val="left"/>
      <w:outlineLvl w:val="6"/>
    </w:pPr>
    <w:rPr>
      <w:rFonts w:ascii="Cambria" w:hAnsi="Cambria" w:eastAsia="宋体"/>
      <w:b/>
      <w:bCs/>
      <w:i/>
      <w:iCs/>
      <w:color w:val="5A5A5A"/>
      <w:kern w:val="0"/>
      <w:sz w:val="20"/>
      <w:szCs w:val="20"/>
      <w:lang w:eastAsia="en-US"/>
    </w:rPr>
  </w:style>
  <w:style w:type="paragraph" w:styleId="9">
    <w:name w:val="heading 8"/>
    <w:basedOn w:val="1"/>
    <w:next w:val="1"/>
    <w:link w:val="41"/>
    <w:qFormat/>
    <w:uiPriority w:val="0"/>
    <w:pPr>
      <w:widowControl/>
      <w:spacing w:line="276" w:lineRule="auto"/>
      <w:jc w:val="left"/>
      <w:outlineLvl w:val="7"/>
    </w:pPr>
    <w:rPr>
      <w:rFonts w:ascii="Cambria" w:hAnsi="Cambria" w:eastAsia="宋体"/>
      <w:b/>
      <w:bCs/>
      <w:color w:val="7F7F7F"/>
      <w:kern w:val="0"/>
      <w:sz w:val="20"/>
      <w:szCs w:val="20"/>
      <w:lang w:eastAsia="en-US"/>
    </w:rPr>
  </w:style>
  <w:style w:type="paragraph" w:styleId="10">
    <w:name w:val="heading 9"/>
    <w:basedOn w:val="1"/>
    <w:next w:val="1"/>
    <w:link w:val="42"/>
    <w:qFormat/>
    <w:uiPriority w:val="0"/>
    <w:pPr>
      <w:widowControl/>
      <w:spacing w:line="266" w:lineRule="auto"/>
      <w:jc w:val="left"/>
      <w:outlineLvl w:val="8"/>
    </w:pPr>
    <w:rPr>
      <w:rFonts w:ascii="Cambria" w:hAnsi="Cambria" w:eastAsia="宋体"/>
      <w:b/>
      <w:bCs/>
      <w:i/>
      <w:iCs/>
      <w:color w:val="7F7F7F"/>
      <w:kern w:val="0"/>
      <w:sz w:val="18"/>
      <w:szCs w:val="18"/>
      <w:lang w:eastAsia="en-US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50"/>
    <w:unhideWhenUsed/>
    <w:qFormat/>
    <w:uiPriority w:val="0"/>
    <w:rPr>
      <w:rFonts w:ascii="宋体" w:eastAsia="宋体"/>
      <w:kern w:val="0"/>
      <w:sz w:val="18"/>
      <w:szCs w:val="18"/>
    </w:rPr>
  </w:style>
  <w:style w:type="paragraph" w:styleId="12">
    <w:name w:val="annotation text"/>
    <w:basedOn w:val="1"/>
    <w:link w:val="45"/>
    <w:unhideWhenUsed/>
    <w:qFormat/>
    <w:uiPriority w:val="0"/>
    <w:pPr>
      <w:jc w:val="left"/>
    </w:pPr>
    <w:rPr>
      <w:rFonts w:eastAsia="宋体"/>
      <w:kern w:val="0"/>
      <w:sz w:val="20"/>
    </w:rPr>
  </w:style>
  <w:style w:type="paragraph" w:styleId="13">
    <w:name w:val="Body Text"/>
    <w:basedOn w:val="1"/>
    <w:link w:val="43"/>
    <w:qFormat/>
    <w:uiPriority w:val="0"/>
    <w:pPr>
      <w:jc w:val="center"/>
    </w:pPr>
    <w:rPr>
      <w:rFonts w:eastAsia="宋体"/>
      <w:sz w:val="44"/>
      <w:szCs w:val="20"/>
    </w:rPr>
  </w:style>
  <w:style w:type="paragraph" w:styleId="14">
    <w:name w:val="Body Text Indent"/>
    <w:basedOn w:val="1"/>
    <w:link w:val="106"/>
    <w:unhideWhenUsed/>
    <w:qFormat/>
    <w:uiPriority w:val="0"/>
    <w:pPr>
      <w:spacing w:after="120"/>
      <w:ind w:left="420" w:leftChars="200"/>
    </w:pPr>
    <w:rPr>
      <w:rFonts w:eastAsia="宋体"/>
      <w:kern w:val="0"/>
      <w:sz w:val="20"/>
      <w:szCs w:val="21"/>
    </w:rPr>
  </w:style>
  <w:style w:type="paragraph" w:styleId="15">
    <w:name w:val="Plain Text"/>
    <w:basedOn w:val="1"/>
    <w:link w:val="110"/>
    <w:unhideWhenUsed/>
    <w:qFormat/>
    <w:uiPriority w:val="0"/>
    <w:rPr>
      <w:rFonts w:ascii="宋体" w:hAnsi="Courier New" w:eastAsia="宋体"/>
      <w:kern w:val="0"/>
      <w:sz w:val="20"/>
      <w:szCs w:val="21"/>
    </w:rPr>
  </w:style>
  <w:style w:type="paragraph" w:styleId="16">
    <w:name w:val="Date"/>
    <w:basedOn w:val="1"/>
    <w:next w:val="1"/>
    <w:link w:val="103"/>
    <w:unhideWhenUsed/>
    <w:qFormat/>
    <w:uiPriority w:val="0"/>
    <w:pPr>
      <w:ind w:left="100" w:leftChars="2500"/>
    </w:pPr>
    <w:rPr>
      <w:rFonts w:eastAsia="宋体"/>
      <w:kern w:val="0"/>
      <w:sz w:val="20"/>
      <w:szCs w:val="21"/>
    </w:rPr>
  </w:style>
  <w:style w:type="paragraph" w:styleId="17">
    <w:name w:val="Balloon Text"/>
    <w:basedOn w:val="1"/>
    <w:link w:val="53"/>
    <w:unhideWhenUsed/>
    <w:qFormat/>
    <w:uiPriority w:val="99"/>
    <w:rPr>
      <w:kern w:val="0"/>
      <w:sz w:val="18"/>
      <w:szCs w:val="18"/>
    </w:rPr>
  </w:style>
  <w:style w:type="paragraph" w:styleId="18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20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21">
    <w:name w:val="Subtitle"/>
    <w:basedOn w:val="1"/>
    <w:next w:val="1"/>
    <w:link w:val="11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 w:val="20"/>
      <w:szCs w:val="20"/>
    </w:rPr>
  </w:style>
  <w:style w:type="paragraph" w:styleId="2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23">
    <w:name w:val="Title"/>
    <w:basedOn w:val="1"/>
    <w:next w:val="1"/>
    <w:link w:val="107"/>
    <w:qFormat/>
    <w:uiPriority w:val="0"/>
    <w:pPr>
      <w:widowControl/>
      <w:spacing w:after="300"/>
      <w:jc w:val="left"/>
    </w:pPr>
    <w:rPr>
      <w:rFonts w:ascii="Cambria" w:hAnsi="Cambria" w:eastAsia="宋体"/>
      <w:smallCaps/>
      <w:kern w:val="0"/>
      <w:sz w:val="52"/>
      <w:szCs w:val="52"/>
      <w:lang w:eastAsia="en-US"/>
    </w:rPr>
  </w:style>
  <w:style w:type="paragraph" w:styleId="24">
    <w:name w:val="annotation subject"/>
    <w:basedOn w:val="12"/>
    <w:next w:val="12"/>
    <w:link w:val="105"/>
    <w:unhideWhenUsed/>
    <w:qFormat/>
    <w:uiPriority w:val="0"/>
    <w:rPr>
      <w:rFonts w:ascii="Calibri" w:hAnsi="Calibri"/>
      <w:b/>
      <w:bCs/>
      <w:szCs w:val="21"/>
    </w:rPr>
  </w:style>
  <w:style w:type="table" w:styleId="26">
    <w:name w:val="Table Grid"/>
    <w:basedOn w:val="2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page number"/>
    <w:basedOn w:val="27"/>
    <w:qFormat/>
    <w:uiPriority w:val="0"/>
  </w:style>
  <w:style w:type="character" w:styleId="29">
    <w:name w:val="FollowedHyperlink"/>
    <w:basedOn w:val="27"/>
    <w:semiHidden/>
    <w:unhideWhenUsed/>
    <w:qFormat/>
    <w:uiPriority w:val="99"/>
    <w:rPr>
      <w:color w:val="800080" w:themeColor="followedHyperlink"/>
      <w:u w:val="single"/>
    </w:rPr>
  </w:style>
  <w:style w:type="character" w:styleId="30">
    <w:name w:val="Hyperlink"/>
    <w:unhideWhenUsed/>
    <w:qFormat/>
    <w:uiPriority w:val="99"/>
    <w:rPr>
      <w:color w:val="0000FF"/>
      <w:u w:val="single"/>
    </w:rPr>
  </w:style>
  <w:style w:type="character" w:styleId="31">
    <w:name w:val="annotation reference"/>
    <w:unhideWhenUsed/>
    <w:qFormat/>
    <w:uiPriority w:val="0"/>
    <w:rPr>
      <w:sz w:val="21"/>
      <w:szCs w:val="21"/>
    </w:rPr>
  </w:style>
  <w:style w:type="character" w:customStyle="1" w:styleId="32">
    <w:name w:val="页眉 Char"/>
    <w:basedOn w:val="27"/>
    <w:link w:val="20"/>
    <w:qFormat/>
    <w:uiPriority w:val="99"/>
    <w:rPr>
      <w:sz w:val="18"/>
      <w:szCs w:val="18"/>
    </w:rPr>
  </w:style>
  <w:style w:type="character" w:customStyle="1" w:styleId="33">
    <w:name w:val="页脚 Char"/>
    <w:basedOn w:val="27"/>
    <w:link w:val="18"/>
    <w:qFormat/>
    <w:uiPriority w:val="99"/>
    <w:rPr>
      <w:sz w:val="18"/>
      <w:szCs w:val="18"/>
    </w:rPr>
  </w:style>
  <w:style w:type="character" w:customStyle="1" w:styleId="34">
    <w:name w:val="标题 1 Char"/>
    <w:basedOn w:val="27"/>
    <w:link w:val="2"/>
    <w:qFormat/>
    <w:uiPriority w:val="0"/>
    <w:rPr>
      <w:rFonts w:ascii="Times New Roman" w:hAnsi="Times New Roman" w:eastAsia="黑体" w:cs="Times New Roman"/>
      <w:kern w:val="44"/>
      <w:sz w:val="28"/>
      <w:szCs w:val="28"/>
    </w:rPr>
  </w:style>
  <w:style w:type="character" w:customStyle="1" w:styleId="35">
    <w:name w:val="标题 2 Char"/>
    <w:basedOn w:val="27"/>
    <w:link w:val="3"/>
    <w:qFormat/>
    <w:uiPriority w:val="0"/>
    <w:rPr>
      <w:rFonts w:ascii="Arial" w:hAnsi="Arial" w:eastAsia="黑体" w:cs="Times New Roman"/>
      <w:b/>
      <w:bCs/>
      <w:kern w:val="0"/>
      <w:sz w:val="20"/>
      <w:szCs w:val="20"/>
    </w:rPr>
  </w:style>
  <w:style w:type="character" w:customStyle="1" w:styleId="36">
    <w:name w:val="标题 3 Char"/>
    <w:basedOn w:val="27"/>
    <w:link w:val="4"/>
    <w:qFormat/>
    <w:uiPriority w:val="0"/>
    <w:rPr>
      <w:rFonts w:ascii="Times New Roman" w:hAnsi="Times New Roman" w:eastAsia="仿宋_GB2312" w:cs="Times New Roman"/>
      <w:b/>
      <w:bCs/>
      <w:kern w:val="0"/>
      <w:sz w:val="32"/>
      <w:szCs w:val="32"/>
    </w:rPr>
  </w:style>
  <w:style w:type="character" w:customStyle="1" w:styleId="37">
    <w:name w:val="标题 4 Char"/>
    <w:basedOn w:val="27"/>
    <w:link w:val="5"/>
    <w:qFormat/>
    <w:uiPriority w:val="0"/>
    <w:rPr>
      <w:rFonts w:ascii="Cambria" w:hAnsi="Cambria" w:eastAsia="宋体" w:cs="宋体"/>
      <w:b/>
      <w:bCs/>
      <w:spacing w:val="5"/>
      <w:kern w:val="0"/>
      <w:sz w:val="24"/>
      <w:szCs w:val="24"/>
      <w:lang w:eastAsia="en-US"/>
    </w:rPr>
  </w:style>
  <w:style w:type="character" w:customStyle="1" w:styleId="38">
    <w:name w:val="标题 5 Char"/>
    <w:basedOn w:val="27"/>
    <w:link w:val="6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customStyle="1" w:styleId="39">
    <w:name w:val="标题 6 Char"/>
    <w:basedOn w:val="27"/>
    <w:link w:val="7"/>
    <w:qFormat/>
    <w:uiPriority w:val="0"/>
    <w:rPr>
      <w:rFonts w:ascii="Cambria" w:hAnsi="Cambria" w:eastAsia="宋体" w:cs="宋体"/>
      <w:b/>
      <w:bCs/>
      <w:color w:val="595959"/>
      <w:spacing w:val="5"/>
      <w:kern w:val="0"/>
      <w:sz w:val="22"/>
      <w:szCs w:val="20"/>
      <w:shd w:val="clear" w:color="auto" w:fill="FFFFFF"/>
      <w:lang w:eastAsia="en-US"/>
    </w:rPr>
  </w:style>
  <w:style w:type="character" w:customStyle="1" w:styleId="40">
    <w:name w:val="标题 7 Char"/>
    <w:basedOn w:val="27"/>
    <w:link w:val="8"/>
    <w:qFormat/>
    <w:uiPriority w:val="0"/>
    <w:rPr>
      <w:rFonts w:ascii="Cambria" w:hAnsi="Cambria" w:eastAsia="宋体" w:cs="Times New Roman"/>
      <w:b/>
      <w:bCs/>
      <w:i/>
      <w:iCs/>
      <w:color w:val="5A5A5A"/>
      <w:kern w:val="0"/>
      <w:sz w:val="20"/>
      <w:szCs w:val="20"/>
      <w:lang w:eastAsia="en-US"/>
    </w:rPr>
  </w:style>
  <w:style w:type="character" w:customStyle="1" w:styleId="41">
    <w:name w:val="标题 8 Char"/>
    <w:basedOn w:val="27"/>
    <w:link w:val="9"/>
    <w:qFormat/>
    <w:uiPriority w:val="0"/>
    <w:rPr>
      <w:rFonts w:ascii="Cambria" w:hAnsi="Cambria" w:eastAsia="宋体" w:cs="Times New Roman"/>
      <w:b/>
      <w:bCs/>
      <w:color w:val="7F7F7F"/>
      <w:kern w:val="0"/>
      <w:sz w:val="20"/>
      <w:szCs w:val="20"/>
      <w:lang w:eastAsia="en-US"/>
    </w:rPr>
  </w:style>
  <w:style w:type="character" w:customStyle="1" w:styleId="42">
    <w:name w:val="标题 9 Char"/>
    <w:basedOn w:val="27"/>
    <w:link w:val="10"/>
    <w:qFormat/>
    <w:uiPriority w:val="0"/>
    <w:rPr>
      <w:rFonts w:ascii="Cambria" w:hAnsi="Cambria" w:eastAsia="宋体" w:cs="Times New Roman"/>
      <w:b/>
      <w:bCs/>
      <w:i/>
      <w:iCs/>
      <w:color w:val="7F7F7F"/>
      <w:kern w:val="0"/>
      <w:sz w:val="18"/>
      <w:szCs w:val="18"/>
      <w:lang w:eastAsia="en-US"/>
    </w:rPr>
  </w:style>
  <w:style w:type="character" w:customStyle="1" w:styleId="43">
    <w:name w:val="正文文本 Char"/>
    <w:basedOn w:val="27"/>
    <w:link w:val="13"/>
    <w:qFormat/>
    <w:uiPriority w:val="0"/>
    <w:rPr>
      <w:rFonts w:ascii="Times New Roman" w:hAnsi="Times New Roman" w:eastAsia="宋体" w:cs="Times New Roman"/>
      <w:sz w:val="44"/>
      <w:szCs w:val="20"/>
    </w:rPr>
  </w:style>
  <w:style w:type="paragraph" w:customStyle="1" w:styleId="44">
    <w:name w:val="_Style 31"/>
    <w:unhideWhenUsed/>
    <w:qFormat/>
    <w:uiPriority w:val="99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45">
    <w:name w:val="批注文字 Char"/>
    <w:basedOn w:val="27"/>
    <w:link w:val="12"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46">
    <w:name w:val="标题 Char"/>
    <w:basedOn w:val="27"/>
    <w:link w:val="23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47">
    <w:name w:val="正文文本缩进 Char"/>
    <w:basedOn w:val="27"/>
    <w:link w:val="14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48">
    <w:name w:val="副标题 Char"/>
    <w:basedOn w:val="27"/>
    <w:link w:val="21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49">
    <w:name w:val="日期 Char"/>
    <w:basedOn w:val="27"/>
    <w:link w:val="16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50">
    <w:name w:val="文档结构图 Char"/>
    <w:basedOn w:val="27"/>
    <w:link w:val="11"/>
    <w:qFormat/>
    <w:uiPriority w:val="0"/>
    <w:rPr>
      <w:rFonts w:ascii="宋体" w:hAnsi="Times New Roman" w:eastAsia="宋体" w:cs="Times New Roman"/>
      <w:kern w:val="0"/>
      <w:sz w:val="18"/>
      <w:szCs w:val="18"/>
    </w:rPr>
  </w:style>
  <w:style w:type="character" w:customStyle="1" w:styleId="51">
    <w:name w:val="纯文本 Char"/>
    <w:basedOn w:val="27"/>
    <w:link w:val="15"/>
    <w:qFormat/>
    <w:uiPriority w:val="0"/>
    <w:rPr>
      <w:rFonts w:ascii="宋体" w:hAnsi="Courier New" w:eastAsia="宋体" w:cs="Courier New"/>
      <w:szCs w:val="21"/>
    </w:rPr>
  </w:style>
  <w:style w:type="character" w:customStyle="1" w:styleId="52">
    <w:name w:val="批注主题 Char"/>
    <w:basedOn w:val="45"/>
    <w:link w:val="24"/>
    <w:qFormat/>
    <w:uiPriority w:val="0"/>
    <w:rPr>
      <w:b/>
      <w:bCs/>
    </w:rPr>
  </w:style>
  <w:style w:type="character" w:customStyle="1" w:styleId="53">
    <w:name w:val="批注框文本 Char"/>
    <w:basedOn w:val="27"/>
    <w:link w:val="17"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54">
    <w:name w:val="无间隔 Char"/>
    <w:link w:val="55"/>
    <w:qFormat/>
    <w:locked/>
    <w:uiPriority w:val="1"/>
    <w:rPr>
      <w:sz w:val="22"/>
    </w:rPr>
  </w:style>
  <w:style w:type="paragraph" w:styleId="55">
    <w:name w:val="No Spacing"/>
    <w:link w:val="54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56">
    <w:name w:val="Revision"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7">
    <w:name w:val="List Paragraph"/>
    <w:basedOn w:val="1"/>
    <w:qFormat/>
    <w:uiPriority w:val="34"/>
    <w:pPr>
      <w:ind w:firstLine="420" w:firstLineChars="200"/>
    </w:pPr>
    <w:rPr>
      <w:rFonts w:eastAsia="宋体"/>
      <w:sz w:val="21"/>
    </w:rPr>
  </w:style>
  <w:style w:type="paragraph" w:customStyle="1" w:styleId="58">
    <w:name w:val="Char1"/>
    <w:basedOn w:val="1"/>
    <w:qFormat/>
    <w:uiPriority w:val="0"/>
    <w:rPr>
      <w:szCs w:val="20"/>
    </w:rPr>
  </w:style>
  <w:style w:type="paragraph" w:customStyle="1" w:styleId="59">
    <w:name w:val="Char"/>
    <w:basedOn w:val="1"/>
    <w:qFormat/>
    <w:uiPriority w:val="0"/>
    <w:rPr>
      <w:rFonts w:ascii="仿宋_GB2312"/>
      <w:b/>
      <w:szCs w:val="32"/>
    </w:rPr>
  </w:style>
  <w:style w:type="paragraph" w:customStyle="1" w:styleId="60">
    <w:name w:val="字元 字元"/>
    <w:basedOn w:val="1"/>
    <w:qFormat/>
    <w:uiPriority w:val="0"/>
    <w:pPr>
      <w:spacing w:line="500" w:lineRule="atLeast"/>
      <w:ind w:firstLine="200" w:firstLineChars="200"/>
    </w:pPr>
    <w:rPr>
      <w:rFonts w:ascii="仿宋_GB2312"/>
      <w:sz w:val="28"/>
      <w:szCs w:val="28"/>
    </w:rPr>
  </w:style>
  <w:style w:type="paragraph" w:customStyle="1" w:styleId="61">
    <w:name w:val="列出段落2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62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63">
    <w:name w:val="Char Char Char Char Char Char"/>
    <w:basedOn w:val="1"/>
    <w:qFormat/>
    <w:uiPriority w:val="0"/>
    <w:rPr>
      <w:rFonts w:ascii="仿宋_GB2312"/>
      <w:b/>
      <w:szCs w:val="32"/>
    </w:rPr>
  </w:style>
  <w:style w:type="character" w:customStyle="1" w:styleId="64">
    <w:name w:val="正文01 Char1"/>
    <w:link w:val="65"/>
    <w:qFormat/>
    <w:locked/>
    <w:uiPriority w:val="0"/>
    <w:rPr>
      <w:rFonts w:ascii="仿宋_GB2312" w:eastAsia="仿宋_GB2312"/>
      <w:color w:val="000000"/>
      <w:sz w:val="32"/>
      <w:szCs w:val="24"/>
    </w:rPr>
  </w:style>
  <w:style w:type="paragraph" w:customStyle="1" w:styleId="65">
    <w:name w:val="正文01"/>
    <w:basedOn w:val="1"/>
    <w:link w:val="64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仿宋_GB2312" w:hAnsiTheme="minorHAnsi" w:cstheme="minorBidi"/>
      <w:color w:val="000000"/>
    </w:rPr>
  </w:style>
  <w:style w:type="paragraph" w:customStyle="1" w:styleId="6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2"/>
      <w:szCs w:val="22"/>
    </w:rPr>
  </w:style>
  <w:style w:type="paragraph" w:customStyle="1" w:styleId="6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 w:val="22"/>
      <w:szCs w:val="22"/>
    </w:rPr>
  </w:style>
  <w:style w:type="paragraph" w:customStyle="1" w:styleId="70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7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b/>
      <w:bCs/>
      <w:kern w:val="0"/>
      <w:sz w:val="24"/>
    </w:rPr>
  </w:style>
  <w:style w:type="paragraph" w:customStyle="1" w:styleId="72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7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宋体"/>
      <w:kern w:val="0"/>
      <w:sz w:val="24"/>
    </w:rPr>
  </w:style>
  <w:style w:type="paragraph" w:customStyle="1" w:styleId="7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paragraph" w:customStyle="1" w:styleId="75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76">
    <w:name w:val="xl6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Cs w:val="32"/>
    </w:rPr>
  </w:style>
  <w:style w:type="paragraph" w:customStyle="1" w:styleId="77">
    <w:name w:val="一级标题"/>
    <w:basedOn w:val="1"/>
    <w:qFormat/>
    <w:uiPriority w:val="0"/>
    <w:pPr>
      <w:adjustRightInd w:val="0"/>
      <w:snapToGrid w:val="0"/>
      <w:jc w:val="center"/>
      <w:outlineLvl w:val="0"/>
    </w:pPr>
    <w:rPr>
      <w:rFonts w:eastAsia="方正小标宋简体"/>
      <w:bCs/>
      <w:kern w:val="0"/>
      <w:sz w:val="36"/>
    </w:rPr>
  </w:style>
  <w:style w:type="character" w:customStyle="1" w:styleId="78">
    <w:name w:val="三级标题 Char"/>
    <w:link w:val="79"/>
    <w:qFormat/>
    <w:locked/>
    <w:uiPriority w:val="0"/>
    <w:rPr>
      <w:rFonts w:ascii="楷体_GB2312" w:eastAsia="楷体_GB2312" w:cs="宋体"/>
      <w:b/>
      <w:sz w:val="32"/>
    </w:rPr>
  </w:style>
  <w:style w:type="paragraph" w:customStyle="1" w:styleId="79">
    <w:name w:val="三级标题"/>
    <w:basedOn w:val="4"/>
    <w:link w:val="78"/>
    <w:qFormat/>
    <w:uiPriority w:val="0"/>
    <w:pPr>
      <w:snapToGrid w:val="0"/>
      <w:spacing w:before="0" w:after="0" w:line="560" w:lineRule="exact"/>
      <w:ind w:firstLine="200" w:firstLineChars="200"/>
    </w:pPr>
    <w:rPr>
      <w:rFonts w:ascii="楷体_GB2312" w:eastAsia="楷体_GB2312" w:cs="宋体" w:hAnsiTheme="minorHAnsi"/>
      <w:bCs w:val="0"/>
      <w:kern w:val="2"/>
      <w:szCs w:val="22"/>
    </w:rPr>
  </w:style>
  <w:style w:type="paragraph" w:customStyle="1" w:styleId="80">
    <w:name w:val="默认段落字体 Para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</w:rPr>
  </w:style>
  <w:style w:type="paragraph" w:customStyle="1" w:styleId="8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20"/>
      <w:szCs w:val="20"/>
    </w:rPr>
  </w:style>
  <w:style w:type="paragraph" w:customStyle="1" w:styleId="82">
    <w:name w:val="无间隔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8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b/>
      <w:bCs/>
      <w:kern w:val="0"/>
      <w:sz w:val="20"/>
      <w:szCs w:val="20"/>
    </w:rPr>
  </w:style>
  <w:style w:type="paragraph" w:customStyle="1" w:styleId="8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20"/>
      <w:szCs w:val="20"/>
    </w:rPr>
  </w:style>
  <w:style w:type="paragraph" w:customStyle="1" w:styleId="85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8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b/>
      <w:bCs/>
      <w:kern w:val="0"/>
      <w:sz w:val="20"/>
      <w:szCs w:val="20"/>
    </w:rPr>
  </w:style>
  <w:style w:type="paragraph" w:customStyle="1" w:styleId="8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宋体"/>
      <w:kern w:val="0"/>
      <w:sz w:val="20"/>
      <w:szCs w:val="20"/>
    </w:rPr>
  </w:style>
  <w:style w:type="paragraph" w:customStyle="1" w:styleId="88">
    <w:name w:val="样式 正文文本缩进 + (中文) 仿宋_GB2312 四号 行距: 固定值 24 磅1"/>
    <w:basedOn w:val="14"/>
    <w:qFormat/>
    <w:uiPriority w:val="0"/>
    <w:pPr>
      <w:spacing w:after="0" w:line="500" w:lineRule="exact"/>
      <w:ind w:left="0" w:leftChars="0" w:firstLine="560" w:firstLineChars="200"/>
    </w:pPr>
    <w:rPr>
      <w:rFonts w:eastAsia="仿宋_GB2312"/>
      <w:sz w:val="28"/>
      <w:szCs w:val="28"/>
    </w:rPr>
  </w:style>
  <w:style w:type="paragraph" w:customStyle="1" w:styleId="89">
    <w:name w:val="二级标题"/>
    <w:basedOn w:val="1"/>
    <w:qFormat/>
    <w:uiPriority w:val="0"/>
    <w:pPr>
      <w:spacing w:line="560" w:lineRule="exact"/>
      <w:ind w:firstLine="200" w:firstLineChars="200"/>
      <w:outlineLvl w:val="1"/>
    </w:pPr>
    <w:rPr>
      <w:rFonts w:eastAsia="黑体"/>
      <w:bCs/>
    </w:rPr>
  </w:style>
  <w:style w:type="paragraph" w:customStyle="1" w:styleId="90">
    <w:name w:val="四级标题"/>
    <w:basedOn w:val="65"/>
    <w:qFormat/>
    <w:uiPriority w:val="0"/>
    <w:rPr>
      <w:rFonts w:eastAsia="方正黑体简体"/>
    </w:rPr>
  </w:style>
  <w:style w:type="character" w:customStyle="1" w:styleId="91">
    <w:name w:val="文档结构图 Char1"/>
    <w:qFormat/>
    <w:locked/>
    <w:uiPriority w:val="0"/>
    <w:rPr>
      <w:rFonts w:hint="default" w:ascii="Calibri" w:hAnsi="Calibri" w:cs="Calibri"/>
      <w:sz w:val="21"/>
      <w:szCs w:val="21"/>
      <w:shd w:val="clear" w:color="auto" w:fill="000080"/>
    </w:rPr>
  </w:style>
  <w:style w:type="character" w:customStyle="1" w:styleId="92">
    <w:name w:val="纯文本 Char1"/>
    <w:qFormat/>
    <w:locked/>
    <w:uiPriority w:val="0"/>
    <w:rPr>
      <w:rFonts w:hint="eastAsia" w:ascii="宋体" w:hAnsi="Courier New" w:eastAsia="宋体" w:cs="宋体"/>
      <w:sz w:val="21"/>
      <w:szCs w:val="21"/>
    </w:rPr>
  </w:style>
  <w:style w:type="character" w:customStyle="1" w:styleId="93">
    <w:name w:val="不明显强调1"/>
    <w:qFormat/>
    <w:uiPriority w:val="0"/>
    <w:rPr>
      <w:i/>
      <w:iCs/>
      <w:color w:val="808080"/>
    </w:rPr>
  </w:style>
  <w:style w:type="character" w:customStyle="1" w:styleId="94">
    <w:name w:val="批注文字 Char1"/>
    <w:qFormat/>
    <w:locked/>
    <w:uiPriority w:val="0"/>
    <w:rPr>
      <w:rFonts w:hint="eastAsia" w:ascii="仿宋_GB2312" w:hAnsi="Calibri" w:eastAsia="仿宋_GB2312" w:cs="仿宋_GB2312"/>
      <w:kern w:val="2"/>
      <w:sz w:val="32"/>
      <w:szCs w:val="32"/>
    </w:rPr>
  </w:style>
  <w:style w:type="character" w:customStyle="1" w:styleId="95">
    <w:name w:val="批注主题 Char1"/>
    <w:qFormat/>
    <w:locked/>
    <w:uiPriority w:val="0"/>
    <w:rPr>
      <w:rFonts w:hint="default" w:ascii="Calibri" w:hAnsi="Calibri" w:cs="Calibri"/>
      <w:b/>
      <w:bCs/>
      <w:sz w:val="21"/>
      <w:szCs w:val="21"/>
    </w:rPr>
  </w:style>
  <w:style w:type="character" w:customStyle="1" w:styleId="96">
    <w:name w:val="正文文本 Char1"/>
    <w:qFormat/>
    <w:locked/>
    <w:uiPriority w:val="0"/>
    <w:rPr>
      <w:kern w:val="2"/>
      <w:sz w:val="44"/>
    </w:rPr>
  </w:style>
  <w:style w:type="character" w:customStyle="1" w:styleId="97">
    <w:name w:val="正文文本缩进 Char1"/>
    <w:qFormat/>
    <w:locked/>
    <w:uiPriority w:val="0"/>
    <w:rPr>
      <w:sz w:val="21"/>
      <w:szCs w:val="21"/>
    </w:rPr>
  </w:style>
  <w:style w:type="character" w:customStyle="1" w:styleId="98">
    <w:name w:val="日期 Char1"/>
    <w:qFormat/>
    <w:locked/>
    <w:uiPriority w:val="0"/>
    <w:rPr>
      <w:sz w:val="21"/>
      <w:szCs w:val="21"/>
    </w:rPr>
  </w:style>
  <w:style w:type="character" w:customStyle="1" w:styleId="99">
    <w:name w:val="批注框文本 Char1"/>
    <w:qFormat/>
    <w:locked/>
    <w:uiPriority w:val="0"/>
    <w:rPr>
      <w:rFonts w:hint="eastAsia" w:ascii="仿宋_GB2312" w:hAnsi="Calibri" w:eastAsia="仿宋_GB2312" w:cs="仿宋_GB2312"/>
      <w:sz w:val="18"/>
      <w:szCs w:val="18"/>
    </w:rPr>
  </w:style>
  <w:style w:type="character" w:customStyle="1" w:styleId="100">
    <w:name w:val="副标题 Char1"/>
    <w:qFormat/>
    <w:locked/>
    <w:uiPriority w:val="0"/>
    <w:rPr>
      <w:rFonts w:hint="default" w:ascii="Cambria" w:hAnsi="Cambria" w:cs="Cambria"/>
      <w:b/>
      <w:bCs/>
      <w:kern w:val="28"/>
    </w:rPr>
  </w:style>
  <w:style w:type="character" w:customStyle="1" w:styleId="101">
    <w:name w:val="标题 Char1"/>
    <w:qFormat/>
    <w:locked/>
    <w:uiPriority w:val="0"/>
    <w:rPr>
      <w:rFonts w:hint="default" w:ascii="Cambria" w:hAnsi="Cambria" w:cs="Cambria"/>
      <w:smallCaps/>
      <w:sz w:val="52"/>
      <w:szCs w:val="52"/>
      <w:lang w:eastAsia="en-US"/>
    </w:rPr>
  </w:style>
  <w:style w:type="character" w:customStyle="1" w:styleId="102">
    <w:name w:val="批注框文本 Char2"/>
    <w:qFormat/>
    <w:uiPriority w:val="0"/>
    <w:rPr>
      <w:rFonts w:hint="eastAsia" w:ascii="仿宋_GB2312" w:hAnsi="Calibri" w:eastAsia="仿宋_GB2312" w:cs="仿宋_GB2312"/>
      <w:kern w:val="0"/>
      <w:sz w:val="18"/>
      <w:szCs w:val="18"/>
    </w:rPr>
  </w:style>
  <w:style w:type="character" w:customStyle="1" w:styleId="103">
    <w:name w:val="日期 Char2"/>
    <w:link w:val="16"/>
    <w:qFormat/>
    <w:locked/>
    <w:uiPriority w:val="0"/>
    <w:rPr>
      <w:rFonts w:ascii="Times New Roman" w:hAnsi="Times New Roman" w:eastAsia="宋体" w:cs="Times New Roman"/>
      <w:kern w:val="0"/>
      <w:sz w:val="20"/>
      <w:szCs w:val="21"/>
    </w:rPr>
  </w:style>
  <w:style w:type="character" w:customStyle="1" w:styleId="104">
    <w:name w:val="批注文字 Char2"/>
    <w:qFormat/>
    <w:uiPriority w:val="0"/>
    <w:rPr>
      <w:rFonts w:hint="eastAsia" w:ascii="仿宋_GB2312" w:eastAsia="仿宋_GB2312"/>
      <w:kern w:val="2"/>
      <w:sz w:val="32"/>
      <w:szCs w:val="24"/>
    </w:rPr>
  </w:style>
  <w:style w:type="character" w:customStyle="1" w:styleId="105">
    <w:name w:val="批注主题 Char2"/>
    <w:link w:val="24"/>
    <w:qFormat/>
    <w:locked/>
    <w:uiPriority w:val="0"/>
    <w:rPr>
      <w:rFonts w:ascii="Calibri" w:hAnsi="Calibri" w:eastAsia="宋体" w:cs="Times New Roman"/>
      <w:b/>
      <w:bCs/>
      <w:kern w:val="0"/>
      <w:sz w:val="20"/>
      <w:szCs w:val="21"/>
    </w:rPr>
  </w:style>
  <w:style w:type="character" w:customStyle="1" w:styleId="106">
    <w:name w:val="正文文本缩进 Char2"/>
    <w:link w:val="14"/>
    <w:qFormat/>
    <w:locked/>
    <w:uiPriority w:val="0"/>
    <w:rPr>
      <w:rFonts w:ascii="Times New Roman" w:hAnsi="Times New Roman" w:eastAsia="宋体" w:cs="Times New Roman"/>
      <w:kern w:val="0"/>
      <w:sz w:val="20"/>
      <w:szCs w:val="21"/>
    </w:rPr>
  </w:style>
  <w:style w:type="character" w:customStyle="1" w:styleId="107">
    <w:name w:val="标题 Char2"/>
    <w:link w:val="23"/>
    <w:qFormat/>
    <w:locked/>
    <w:uiPriority w:val="0"/>
    <w:rPr>
      <w:rFonts w:ascii="Cambria" w:hAnsi="Cambria" w:eastAsia="宋体" w:cs="Times New Roman"/>
      <w:smallCaps/>
      <w:kern w:val="0"/>
      <w:sz w:val="52"/>
      <w:szCs w:val="52"/>
      <w:lang w:eastAsia="en-US"/>
    </w:rPr>
  </w:style>
  <w:style w:type="character" w:customStyle="1" w:styleId="108">
    <w:name w:val="正文文本 Char2"/>
    <w:qFormat/>
    <w:uiPriority w:val="0"/>
    <w:rPr>
      <w:kern w:val="2"/>
      <w:sz w:val="44"/>
    </w:rPr>
  </w:style>
  <w:style w:type="character" w:customStyle="1" w:styleId="109">
    <w:name w:val="文档结构图 Char2"/>
    <w:qFormat/>
    <w:uiPriority w:val="0"/>
    <w:rPr>
      <w:rFonts w:hint="default" w:ascii="Calibri" w:hAnsi="Calibri" w:cs="Calibri"/>
      <w:sz w:val="21"/>
      <w:szCs w:val="21"/>
      <w:shd w:val="clear" w:color="auto" w:fill="000080"/>
    </w:rPr>
  </w:style>
  <w:style w:type="character" w:customStyle="1" w:styleId="110">
    <w:name w:val="纯文本 Char2"/>
    <w:link w:val="15"/>
    <w:qFormat/>
    <w:locked/>
    <w:uiPriority w:val="0"/>
    <w:rPr>
      <w:rFonts w:ascii="宋体" w:hAnsi="Courier New" w:eastAsia="宋体" w:cs="Times New Roman"/>
      <w:kern w:val="0"/>
      <w:sz w:val="20"/>
      <w:szCs w:val="21"/>
    </w:rPr>
  </w:style>
  <w:style w:type="character" w:customStyle="1" w:styleId="111">
    <w:name w:val="副标题 Char2"/>
    <w:link w:val="21"/>
    <w:qFormat/>
    <w:locked/>
    <w:uiPriority w:val="0"/>
    <w:rPr>
      <w:rFonts w:ascii="Cambria" w:hAnsi="Cambria" w:eastAsia="宋体" w:cs="Times New Roman"/>
      <w:b/>
      <w:bCs/>
      <w:kern w:val="28"/>
      <w:sz w:val="20"/>
      <w:szCs w:val="20"/>
    </w:rPr>
  </w:style>
  <w:style w:type="table" w:customStyle="1" w:styleId="112">
    <w:name w:val="网格型1"/>
    <w:basedOn w:val="25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376</Words>
  <Characters>2144</Characters>
  <Lines>17</Lines>
  <Paragraphs>5</Paragraphs>
  <TotalTime>7</TotalTime>
  <ScaleCrop>false</ScaleCrop>
  <LinksUpToDate>false</LinksUpToDate>
  <CharactersWithSpaces>2515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2017-06-29T00:49:00Z</dcterms:created>
  <dc:creator>sa</dc:creator>
  <cp:lastModifiedBy>完全上接吻</cp:lastModifiedBy>
  <dcterms:modified xsi:type="dcterms:W3CDTF">2021-06-11T08:17:35Z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1DA6AB40D5BC43F79B128BEC4A759940</vt:lpwstr>
  </property>
</Properties>
</file>